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3" w:type="dxa"/>
        <w:tblBorders>
          <w:top w:val="single" w:sz="18" w:space="0" w:color="C0C0C0"/>
          <w:bottom w:val="single" w:sz="18" w:space="0" w:color="C0C0C0"/>
        </w:tblBorders>
        <w:tblLayout w:type="fixed"/>
        <w:tblLook w:val="0000" w:firstRow="0" w:lastRow="0" w:firstColumn="0" w:lastColumn="0" w:noHBand="0" w:noVBand="0"/>
      </w:tblPr>
      <w:tblGrid>
        <w:gridCol w:w="9693"/>
      </w:tblGrid>
      <w:tr w:rsidR="00290FF5" w:rsidRPr="00553D5B" w14:paraId="0AD37D03" w14:textId="77777777" w:rsidTr="00290FF5">
        <w:trPr>
          <w:trHeight w:val="398"/>
        </w:trPr>
        <w:tc>
          <w:tcPr>
            <w:tcW w:w="9693" w:type="dxa"/>
            <w:tcMar>
              <w:left w:w="0" w:type="dxa"/>
              <w:right w:w="0" w:type="dxa"/>
            </w:tcMar>
            <w:vAlign w:val="bottom"/>
          </w:tcPr>
          <w:p w14:paraId="735B2626" w14:textId="1D7F00AE" w:rsidR="00290FF5" w:rsidRPr="00553D5B" w:rsidRDefault="00290FF5" w:rsidP="00930B5D">
            <w:pPr>
              <w:pStyle w:val="TableHeadings"/>
              <w:ind w:right="-7830"/>
              <w:rPr>
                <w:rFonts w:ascii="Arial" w:hAnsi="Arial" w:cs="Arial"/>
                <w:b w:val="0"/>
                <w:sz w:val="20"/>
              </w:rPr>
            </w:pPr>
            <w:r w:rsidRPr="00553D5B">
              <w:rPr>
                <w:rFonts w:ascii="Arial" w:hAnsi="Arial" w:cs="Arial"/>
                <w:sz w:val="20"/>
              </w:rPr>
              <w:t xml:space="preserve">TO:  </w:t>
            </w:r>
            <w:r w:rsidR="00930B5D" w:rsidRPr="00930B5D">
              <w:rPr>
                <w:rFonts w:ascii="Arial" w:hAnsi="Arial" w:cs="Arial"/>
                <w:b w:val="0"/>
                <w:sz w:val="20"/>
              </w:rPr>
              <w:t>Therese Harris, Public Utility Commission of Texas</w:t>
            </w:r>
            <w:r w:rsidR="003546B3">
              <w:rPr>
                <w:rFonts w:ascii="Arial" w:hAnsi="Arial" w:cs="Arial"/>
                <w:b w:val="0"/>
                <w:sz w:val="20"/>
              </w:rPr>
              <w:t xml:space="preserve"> (PUCT)</w:t>
            </w:r>
            <w:r w:rsidR="007C00D1">
              <w:rPr>
                <w:rFonts w:ascii="Arial" w:hAnsi="Arial" w:cs="Arial"/>
                <w:b w:val="0"/>
                <w:sz w:val="20"/>
              </w:rPr>
              <w:t xml:space="preserve"> and Texas </w:t>
            </w:r>
            <w:r w:rsidR="00B90938">
              <w:rPr>
                <w:rFonts w:ascii="Arial" w:hAnsi="Arial" w:cs="Arial"/>
                <w:b w:val="0"/>
                <w:sz w:val="20"/>
              </w:rPr>
              <w:t>Electric Utilities</w:t>
            </w:r>
          </w:p>
        </w:tc>
      </w:tr>
      <w:tr w:rsidR="00B90938" w:rsidRPr="00553D5B" w14:paraId="4BE5DCB0" w14:textId="77777777" w:rsidTr="00290FF5">
        <w:trPr>
          <w:trHeight w:val="398"/>
        </w:trPr>
        <w:tc>
          <w:tcPr>
            <w:tcW w:w="9693" w:type="dxa"/>
            <w:tcMar>
              <w:left w:w="0" w:type="dxa"/>
              <w:right w:w="0" w:type="dxa"/>
            </w:tcMar>
            <w:vAlign w:val="bottom"/>
          </w:tcPr>
          <w:p w14:paraId="6E6FA3A5" w14:textId="7FFBB8AF" w:rsidR="00B90938" w:rsidRPr="00AA37F5" w:rsidRDefault="00B90938" w:rsidP="00BE7CD1">
            <w:pPr>
              <w:pStyle w:val="TableHeadings"/>
              <w:rPr>
                <w:rFonts w:ascii="Arial" w:hAnsi="Arial" w:cs="Arial"/>
                <w:b w:val="0"/>
                <w:sz w:val="20"/>
              </w:rPr>
            </w:pPr>
            <w:bookmarkStart w:id="0" w:name="ToTrans"/>
            <w:bookmarkEnd w:id="0"/>
            <w:r w:rsidRPr="00AA37F5">
              <w:rPr>
                <w:rFonts w:ascii="Arial" w:hAnsi="Arial" w:cs="Arial"/>
                <w:sz w:val="20"/>
              </w:rPr>
              <w:t xml:space="preserve">FROM: </w:t>
            </w:r>
            <w:r w:rsidRPr="00AA37F5">
              <w:rPr>
                <w:rFonts w:ascii="Arial" w:hAnsi="Arial" w:cs="Arial"/>
                <w:b w:val="0"/>
                <w:sz w:val="20"/>
              </w:rPr>
              <w:t>Lark Lee, Evaluation, Monitoring &amp;</w:t>
            </w:r>
            <w:r>
              <w:rPr>
                <w:rFonts w:ascii="Arial" w:hAnsi="Arial" w:cs="Arial"/>
                <w:b w:val="0"/>
                <w:sz w:val="20"/>
              </w:rPr>
              <w:t xml:space="preserve"> </w:t>
            </w:r>
            <w:r w:rsidRPr="00AA37F5">
              <w:rPr>
                <w:rFonts w:ascii="Arial" w:hAnsi="Arial" w:cs="Arial"/>
                <w:b w:val="0"/>
                <w:sz w:val="20"/>
              </w:rPr>
              <w:t xml:space="preserve">Verification </w:t>
            </w:r>
            <w:r w:rsidR="00717065">
              <w:rPr>
                <w:rFonts w:ascii="Arial" w:hAnsi="Arial" w:cs="Arial"/>
                <w:b w:val="0"/>
                <w:sz w:val="20"/>
              </w:rPr>
              <w:t xml:space="preserve">(EM&amp;V) </w:t>
            </w:r>
            <w:r w:rsidRPr="00AA37F5">
              <w:rPr>
                <w:rFonts w:ascii="Arial" w:hAnsi="Arial" w:cs="Arial"/>
                <w:b w:val="0"/>
                <w:sz w:val="20"/>
              </w:rPr>
              <w:t>project manager</w:t>
            </w:r>
          </w:p>
        </w:tc>
        <w:bookmarkStart w:id="1" w:name="To"/>
        <w:bookmarkEnd w:id="1"/>
      </w:tr>
      <w:tr w:rsidR="00B90938" w:rsidRPr="00553D5B" w14:paraId="3AF10784" w14:textId="77777777" w:rsidTr="00290FF5">
        <w:trPr>
          <w:trHeight w:val="398"/>
        </w:trPr>
        <w:tc>
          <w:tcPr>
            <w:tcW w:w="9693" w:type="dxa"/>
            <w:tcMar>
              <w:left w:w="0" w:type="dxa"/>
              <w:right w:w="0" w:type="dxa"/>
            </w:tcMar>
            <w:vAlign w:val="bottom"/>
          </w:tcPr>
          <w:p w14:paraId="4C502D92" w14:textId="0DDABD78" w:rsidR="00B90938" w:rsidRPr="00AA37F5" w:rsidRDefault="00B90938" w:rsidP="00605578">
            <w:pPr>
              <w:pStyle w:val="TableHeadings"/>
              <w:rPr>
                <w:rFonts w:ascii="Arial" w:hAnsi="Arial" w:cs="Arial"/>
                <w:b w:val="0"/>
                <w:sz w:val="20"/>
              </w:rPr>
            </w:pPr>
            <w:bookmarkStart w:id="2" w:name="FromTrans"/>
            <w:bookmarkEnd w:id="2"/>
            <w:r w:rsidRPr="00AA37F5">
              <w:rPr>
                <w:rFonts w:ascii="Arial" w:hAnsi="Arial" w:cs="Arial"/>
                <w:sz w:val="20"/>
              </w:rPr>
              <w:t xml:space="preserve">SUBJECT: </w:t>
            </w:r>
            <w:r w:rsidRPr="00AA37F5">
              <w:rPr>
                <w:rFonts w:ascii="Arial" w:hAnsi="Arial" w:cs="Arial"/>
                <w:b w:val="0"/>
                <w:sz w:val="20"/>
              </w:rPr>
              <w:t xml:space="preserve">EM&amp;V </w:t>
            </w:r>
            <w:r w:rsidR="00665C1D">
              <w:rPr>
                <w:rFonts w:ascii="Arial" w:hAnsi="Arial" w:cs="Arial"/>
                <w:b w:val="0"/>
                <w:sz w:val="20"/>
              </w:rPr>
              <w:t>Cost Allocation</w:t>
            </w:r>
            <w:r w:rsidR="00717065">
              <w:rPr>
                <w:rFonts w:ascii="Arial" w:hAnsi="Arial" w:cs="Arial"/>
                <w:b w:val="0"/>
                <w:sz w:val="20"/>
              </w:rPr>
              <w:t>s</w:t>
            </w:r>
            <w:r w:rsidR="00665C1D">
              <w:rPr>
                <w:rFonts w:ascii="Arial" w:hAnsi="Arial" w:cs="Arial"/>
                <w:b w:val="0"/>
                <w:sz w:val="20"/>
              </w:rPr>
              <w:t xml:space="preserve"> </w:t>
            </w:r>
          </w:p>
        </w:tc>
        <w:bookmarkStart w:id="3" w:name="From"/>
        <w:bookmarkEnd w:id="3"/>
      </w:tr>
      <w:tr w:rsidR="00290FF5" w:rsidRPr="00553D5B" w14:paraId="3F470593" w14:textId="77777777" w:rsidTr="00290FF5">
        <w:trPr>
          <w:trHeight w:val="398"/>
        </w:trPr>
        <w:tc>
          <w:tcPr>
            <w:tcW w:w="9693" w:type="dxa"/>
            <w:tcMar>
              <w:left w:w="0" w:type="dxa"/>
              <w:right w:w="0" w:type="dxa"/>
            </w:tcMar>
            <w:vAlign w:val="bottom"/>
          </w:tcPr>
          <w:p w14:paraId="4BBA25C0" w14:textId="1D67E427" w:rsidR="00290FF5" w:rsidRPr="00553D5B" w:rsidRDefault="00290FF5" w:rsidP="00B90938">
            <w:pPr>
              <w:pStyle w:val="TableHeadings"/>
              <w:rPr>
                <w:rFonts w:ascii="Arial" w:hAnsi="Arial" w:cs="Arial"/>
                <w:b w:val="0"/>
                <w:sz w:val="20"/>
              </w:rPr>
            </w:pPr>
            <w:bookmarkStart w:id="4" w:name="DateTrans"/>
            <w:bookmarkEnd w:id="4"/>
            <w:r w:rsidRPr="00553D5B">
              <w:rPr>
                <w:rFonts w:ascii="Arial" w:hAnsi="Arial" w:cs="Arial"/>
                <w:sz w:val="20"/>
              </w:rPr>
              <w:t xml:space="preserve">DATE:  </w:t>
            </w:r>
            <w:r w:rsidR="00ED0662">
              <w:rPr>
                <w:rFonts w:ascii="Arial" w:hAnsi="Arial" w:cs="Arial"/>
                <w:b w:val="0"/>
                <w:sz w:val="20"/>
              </w:rPr>
              <w:t>June 22, 2023</w:t>
            </w:r>
          </w:p>
        </w:tc>
        <w:bookmarkStart w:id="5" w:name="Date"/>
        <w:bookmarkEnd w:id="5"/>
      </w:tr>
      <w:tr w:rsidR="00290FF5" w:rsidRPr="00553D5B" w14:paraId="7D1A4080" w14:textId="77777777" w:rsidTr="00290FF5">
        <w:trPr>
          <w:trHeight w:val="398"/>
        </w:trPr>
        <w:tc>
          <w:tcPr>
            <w:tcW w:w="9693" w:type="dxa"/>
            <w:tcMar>
              <w:left w:w="0" w:type="dxa"/>
              <w:right w:w="0" w:type="dxa"/>
            </w:tcMar>
            <w:vAlign w:val="bottom"/>
          </w:tcPr>
          <w:p w14:paraId="22ADB58A" w14:textId="77777777" w:rsidR="00290FF5" w:rsidRPr="00553D5B" w:rsidRDefault="00290FF5" w:rsidP="008E057F">
            <w:pPr>
              <w:pStyle w:val="TableHeadings"/>
              <w:rPr>
                <w:rFonts w:ascii="Arial" w:hAnsi="Arial" w:cs="Arial"/>
                <w:b w:val="0"/>
                <w:sz w:val="20"/>
              </w:rPr>
            </w:pPr>
          </w:p>
        </w:tc>
      </w:tr>
      <w:tr w:rsidR="00290FF5" w:rsidRPr="00AA7229" w14:paraId="1909EFCF" w14:textId="77777777" w:rsidTr="009D61C0">
        <w:trPr>
          <w:trHeight w:val="60"/>
        </w:trPr>
        <w:tc>
          <w:tcPr>
            <w:tcW w:w="9693" w:type="dxa"/>
            <w:tcMar>
              <w:left w:w="0" w:type="dxa"/>
              <w:right w:w="0" w:type="dxa"/>
            </w:tcMar>
            <w:vAlign w:val="bottom"/>
          </w:tcPr>
          <w:p w14:paraId="732978BD" w14:textId="77777777" w:rsidR="00290FF5" w:rsidRPr="00AA7229" w:rsidRDefault="00290FF5" w:rsidP="00C6780B">
            <w:pPr>
              <w:pStyle w:val="TableHeadings"/>
              <w:spacing w:before="0"/>
              <w:rPr>
                <w:rFonts w:ascii="Arial" w:hAnsi="Arial" w:cs="Arial"/>
                <w:b w:val="0"/>
              </w:rPr>
            </w:pPr>
          </w:p>
        </w:tc>
      </w:tr>
    </w:tbl>
    <w:p w14:paraId="2D41A97F" w14:textId="172E9E3B" w:rsidR="00665C1D" w:rsidRDefault="00DB05DB" w:rsidP="00B90938">
      <w:r w:rsidRPr="00B752A7">
        <w:rPr>
          <w:rFonts w:cs="Arial"/>
        </w:rPr>
        <w:t xml:space="preserve">The PUCT selected an independent, third-party EM&amp;V contractor </w:t>
      </w:r>
      <w:r>
        <w:rPr>
          <w:rFonts w:cs="Arial"/>
        </w:rPr>
        <w:t xml:space="preserve">for the PY2020-PY2023 programs </w:t>
      </w:r>
      <w:r w:rsidRPr="00B752A7">
        <w:rPr>
          <w:rFonts w:cs="Arial"/>
        </w:rPr>
        <w:t>through the Request for Proposals 473-</w:t>
      </w:r>
      <w:r>
        <w:rPr>
          <w:rFonts w:cs="Arial"/>
        </w:rPr>
        <w:t>20</w:t>
      </w:r>
      <w:r w:rsidRPr="00B752A7">
        <w:rPr>
          <w:rFonts w:cs="Arial"/>
        </w:rPr>
        <w:t xml:space="preserve">-0002, Project No. </w:t>
      </w:r>
      <w:r>
        <w:rPr>
          <w:rFonts w:cs="Arial"/>
        </w:rPr>
        <w:t>51021</w:t>
      </w:r>
      <w:r w:rsidRPr="00B752A7">
        <w:rPr>
          <w:rFonts w:cs="Arial"/>
        </w:rPr>
        <w:t>. The selected EM&amp;V team is led by Tetra Tech and includes Texas Energy Engineering Services, Inc. (TEESI)</w:t>
      </w:r>
      <w:r>
        <w:rPr>
          <w:rFonts w:cs="Arial"/>
        </w:rPr>
        <w:t xml:space="preserve"> and Energy Bees</w:t>
      </w:r>
      <w:r w:rsidRPr="00B752A7">
        <w:rPr>
          <w:rFonts w:cs="Arial"/>
        </w:rPr>
        <w:t xml:space="preserve">. </w:t>
      </w:r>
      <w:r w:rsidR="00A217BC" w:rsidRPr="00F2014C">
        <w:rPr>
          <w:rFonts w:cs="Arial"/>
          <w:szCs w:val="22"/>
        </w:rPr>
        <w:t xml:space="preserve">The </w:t>
      </w:r>
      <w:r w:rsidR="00A217BC" w:rsidRPr="00161BF7">
        <w:rPr>
          <w:szCs w:val="22"/>
        </w:rPr>
        <w:t xml:space="preserve">RFP </w:t>
      </w:r>
      <w:r w:rsidR="00A217BC" w:rsidRPr="00700703">
        <w:rPr>
          <w:szCs w:val="22"/>
        </w:rPr>
        <w:t xml:space="preserve">was for </w:t>
      </w:r>
      <w:r w:rsidR="00A217BC">
        <w:rPr>
          <w:szCs w:val="22"/>
        </w:rPr>
        <w:t>Program Year</w:t>
      </w:r>
      <w:r w:rsidR="00F073E4">
        <w:rPr>
          <w:szCs w:val="22"/>
        </w:rPr>
        <w:t>s</w:t>
      </w:r>
      <w:r w:rsidR="00A217BC">
        <w:rPr>
          <w:szCs w:val="22"/>
        </w:rPr>
        <w:t xml:space="preserve"> (PY) </w:t>
      </w:r>
      <w:r w:rsidR="00665C1D">
        <w:rPr>
          <w:szCs w:val="22"/>
        </w:rPr>
        <w:t>20</w:t>
      </w:r>
      <w:r w:rsidR="00F073E4">
        <w:rPr>
          <w:szCs w:val="22"/>
        </w:rPr>
        <w:t>20</w:t>
      </w:r>
      <w:r w:rsidR="00665C1D">
        <w:rPr>
          <w:szCs w:val="22"/>
        </w:rPr>
        <w:t xml:space="preserve"> through PY20</w:t>
      </w:r>
      <w:r w:rsidR="00F073E4">
        <w:rPr>
          <w:szCs w:val="22"/>
        </w:rPr>
        <w:t>23</w:t>
      </w:r>
      <w:r w:rsidR="00ED0662">
        <w:rPr>
          <w:szCs w:val="22"/>
        </w:rPr>
        <w:t xml:space="preserve">, which span </w:t>
      </w:r>
      <w:r w:rsidR="00ED0662">
        <w:t>calendar year</w:t>
      </w:r>
      <w:r w:rsidR="00AC23AA">
        <w:t>s</w:t>
      </w:r>
      <w:r w:rsidR="00ED0662">
        <w:t xml:space="preserve"> 2021 through 2024</w:t>
      </w:r>
      <w:r w:rsidR="00665C1D">
        <w:rPr>
          <w:szCs w:val="22"/>
        </w:rPr>
        <w:t xml:space="preserve">. </w:t>
      </w:r>
      <w:r w:rsidR="00665C1D">
        <w:t>This memo discusses</w:t>
      </w:r>
      <w:r w:rsidR="00B90938">
        <w:t xml:space="preserve"> the </w:t>
      </w:r>
      <w:r w:rsidR="00605578">
        <w:t>E</w:t>
      </w:r>
      <w:r w:rsidR="00B5571D">
        <w:t xml:space="preserve">M&amp;V cost allocation for </w:t>
      </w:r>
      <w:r w:rsidR="00ED0662">
        <w:t xml:space="preserve">PY2023. </w:t>
      </w:r>
    </w:p>
    <w:p w14:paraId="4AF59130" w14:textId="77777777" w:rsidR="00A764E9" w:rsidRDefault="00B5571D" w:rsidP="00FC605F">
      <w:pPr>
        <w:pStyle w:val="Heading2"/>
      </w:pPr>
      <w:r>
        <w:t>Introduction</w:t>
      </w:r>
    </w:p>
    <w:p w14:paraId="49CFCEAE" w14:textId="2BF26213" w:rsidR="003D1977" w:rsidRDefault="00B5571D" w:rsidP="00FC605F">
      <w:r>
        <w:t>This section</w:t>
      </w:r>
      <w:r w:rsidR="00FC605F">
        <w:t xml:space="preserve"> describe</w:t>
      </w:r>
      <w:r>
        <w:t>s</w:t>
      </w:r>
      <w:r w:rsidR="00FC605F">
        <w:t xml:space="preserve"> the methodology recommended by the </w:t>
      </w:r>
      <w:r w:rsidR="00176870">
        <w:t>EM&amp;V team</w:t>
      </w:r>
      <w:r w:rsidR="00C561A6">
        <w:t xml:space="preserve"> and agreed to by PUC Staff</w:t>
      </w:r>
      <w:r w:rsidR="00FC605F">
        <w:t xml:space="preserve"> to allocate EM&amp;V costs to individual utility programs. This methodology applies to cost allocations for energy efficiency cost recovery factors (EECRFs) as well as the </w:t>
      </w:r>
      <w:r w:rsidR="00C561A6">
        <w:t>EM&amp;V</w:t>
      </w:r>
      <w:r w:rsidR="00FC605F">
        <w:t xml:space="preserve"> team’s cost-effectiveness testing. This is the same methodology that was used to </w:t>
      </w:r>
      <w:r w:rsidR="00C45BFA">
        <w:t>allocate</w:t>
      </w:r>
      <w:r w:rsidR="00FC605F">
        <w:t xml:space="preserve"> PY201</w:t>
      </w:r>
      <w:r w:rsidR="00C561A6">
        <w:t>6</w:t>
      </w:r>
      <w:r w:rsidR="00FC605F">
        <w:t xml:space="preserve"> </w:t>
      </w:r>
      <w:r w:rsidR="00605578">
        <w:t>– PY20</w:t>
      </w:r>
      <w:r w:rsidR="00ED0662">
        <w:t>22</w:t>
      </w:r>
      <w:r w:rsidR="00605578">
        <w:t xml:space="preserve"> </w:t>
      </w:r>
      <w:r w:rsidR="00FC605F">
        <w:t>EM&amp;V costs.</w:t>
      </w:r>
      <w:r w:rsidR="003D1977">
        <w:t xml:space="preserve"> </w:t>
      </w:r>
    </w:p>
    <w:p w14:paraId="4438C6CC" w14:textId="2CF13CBB" w:rsidR="00FC605F" w:rsidRPr="00930B5D" w:rsidRDefault="009D3396" w:rsidP="00FC605F">
      <w:r>
        <w:t>O</w:t>
      </w:r>
      <w:r w:rsidR="003D1977">
        <w:t xml:space="preserve">ver the </w:t>
      </w:r>
      <w:r w:rsidR="00B5571D">
        <w:t>current four-year</w:t>
      </w:r>
      <w:r w:rsidR="003D1977">
        <w:t xml:space="preserve"> contract period, the EM&amp;V budget for each program year is </w:t>
      </w:r>
      <w:r w:rsidR="00510C1B">
        <w:t xml:space="preserve">allocated to </w:t>
      </w:r>
      <w:r w:rsidR="003D1977">
        <w:t>the calendar year budget</w:t>
      </w:r>
      <w:r w:rsidR="00704EEA">
        <w:t xml:space="preserve"> in which the program year EM&amp;V is completed</w:t>
      </w:r>
      <w:r w:rsidR="003D1977">
        <w:t>. For example, the 20</w:t>
      </w:r>
      <w:r>
        <w:t>2</w:t>
      </w:r>
      <w:r w:rsidR="00ED0662">
        <w:t>4</w:t>
      </w:r>
      <w:r w:rsidR="003D1977">
        <w:t xml:space="preserve"> calendar </w:t>
      </w:r>
      <w:r w:rsidR="00ED0662">
        <w:t xml:space="preserve">year </w:t>
      </w:r>
      <w:r w:rsidR="003D1977">
        <w:t xml:space="preserve">budget </w:t>
      </w:r>
      <w:r w:rsidR="00ED0662">
        <w:t>is</w:t>
      </w:r>
      <w:r w:rsidR="003D1977">
        <w:t xml:space="preserve"> allocated to PY20</w:t>
      </w:r>
      <w:r w:rsidR="00704EEA">
        <w:t>2</w:t>
      </w:r>
      <w:r w:rsidR="00ED0662">
        <w:t>3</w:t>
      </w:r>
      <w:r w:rsidR="00510C1B">
        <w:t xml:space="preserve"> EM&amp;V </w:t>
      </w:r>
      <w:r w:rsidR="00170714">
        <w:t xml:space="preserve">that is </w:t>
      </w:r>
      <w:r w:rsidR="00510C1B">
        <w:t>completed in 202</w:t>
      </w:r>
      <w:r w:rsidR="00ED0662">
        <w:t xml:space="preserve">4. </w:t>
      </w:r>
    </w:p>
    <w:p w14:paraId="512F54ED" w14:textId="77777777" w:rsidR="00FC605F" w:rsidRPr="00605578" w:rsidRDefault="00FC605F" w:rsidP="00FC605F">
      <w:pPr>
        <w:pStyle w:val="Heading1"/>
        <w:rPr>
          <w:b w:val="0"/>
          <w:i/>
        </w:rPr>
      </w:pPr>
      <w:r w:rsidRPr="00605578">
        <w:rPr>
          <w:b w:val="0"/>
          <w:i/>
        </w:rPr>
        <w:t>Background</w:t>
      </w:r>
    </w:p>
    <w:p w14:paraId="1FD9F99E" w14:textId="79FDA552" w:rsidR="00FC605F" w:rsidRDefault="00FC605F" w:rsidP="00FC605F">
      <w:r>
        <w:t xml:space="preserve">The evaluation budget for all utilities </w:t>
      </w:r>
      <w:r w:rsidR="00ED0662">
        <w:t>has been</w:t>
      </w:r>
      <w:r>
        <w:t xml:space="preserve"> </w:t>
      </w:r>
      <w:r w:rsidR="003D1977">
        <w:t>around</w:t>
      </w:r>
      <w:r w:rsidR="00605578">
        <w:t xml:space="preserve"> 1.8</w:t>
      </w:r>
      <w:r>
        <w:t xml:space="preserve"> million</w:t>
      </w:r>
      <w:r w:rsidR="00605578">
        <w:t xml:space="preserve"> </w:t>
      </w:r>
      <w:r w:rsidR="003D1977">
        <w:t xml:space="preserve">annually in </w:t>
      </w:r>
      <w:r w:rsidR="000C3044">
        <w:t xml:space="preserve">calendar years </w:t>
      </w:r>
      <w:r w:rsidR="003D1977">
        <w:t>20</w:t>
      </w:r>
      <w:r w:rsidR="00A47007">
        <w:t>21</w:t>
      </w:r>
      <w:r w:rsidR="003D1977">
        <w:t xml:space="preserve"> through 202</w:t>
      </w:r>
      <w:r w:rsidR="00A47007">
        <w:t>4</w:t>
      </w:r>
      <w:r w:rsidR="003D1977">
        <w:t xml:space="preserve"> </w:t>
      </w:r>
      <w:r w:rsidR="00A47007">
        <w:t>(</w:t>
      </w:r>
      <w:r w:rsidR="003D1977">
        <w:t>or PY20</w:t>
      </w:r>
      <w:r w:rsidR="000C3044">
        <w:t>20</w:t>
      </w:r>
      <w:r w:rsidR="003D1977">
        <w:t xml:space="preserve"> through PY20</w:t>
      </w:r>
      <w:r w:rsidR="000C3044">
        <w:t>23)</w:t>
      </w:r>
      <w:r w:rsidR="003D1977">
        <w:t xml:space="preserve">. </w:t>
      </w:r>
      <w:r>
        <w:t xml:space="preserve">Each utility pays a portion of the total EM&amp;V cost as agreed to between the Electric Utility Marketing Managers of Texas (EUMMOT) and the PUCT. These costs are recoverable by the utilities within their EECRFs, but a finer level of detail is needed to accurately distribute and recover the costs. </w:t>
      </w:r>
    </w:p>
    <w:p w14:paraId="0849DCFF" w14:textId="4E8545D2" w:rsidR="00FC605F" w:rsidRDefault="00FC605F" w:rsidP="00FC605F">
      <w:r>
        <w:t xml:space="preserve">Both the EM&amp;V team’s cost-effectiveness and the EECRFs need to assess annual program costs. Therefore each utility’s total program year EM&amp;V costs must be further allocated to individual programs. Because of the shared costs in the EM&amp;V infrastructure, it is not feasible to track costs for individual utility programs. Therefore, the evaluation team developed the methodology detailed below to allocate costs at the utility program level based on </w:t>
      </w:r>
      <w:r w:rsidR="00A354CD">
        <w:t xml:space="preserve">a combination of program savings and the level of effort as indicated by </w:t>
      </w:r>
      <w:r w:rsidR="002F2842">
        <w:t xml:space="preserve">the </w:t>
      </w:r>
      <w:r>
        <w:t>evaluation prioritization</w:t>
      </w:r>
      <w:r w:rsidR="002F2842">
        <w:t xml:space="preserve"> </w:t>
      </w:r>
      <w:r w:rsidR="00A354CD">
        <w:t>of high, medium or low each year</w:t>
      </w:r>
      <w:r>
        <w:t>.</w:t>
      </w:r>
    </w:p>
    <w:p w14:paraId="14AFD7C4" w14:textId="77777777" w:rsidR="00FC605F" w:rsidRPr="002F2842" w:rsidRDefault="00FC605F" w:rsidP="00FC605F">
      <w:pPr>
        <w:pStyle w:val="Heading1"/>
        <w:rPr>
          <w:b w:val="0"/>
          <w:i/>
        </w:rPr>
      </w:pPr>
      <w:r w:rsidRPr="002F2842">
        <w:rPr>
          <w:b w:val="0"/>
          <w:i/>
        </w:rPr>
        <w:t>Approach</w:t>
      </w:r>
    </w:p>
    <w:p w14:paraId="38F5255D" w14:textId="3BF2C78B" w:rsidR="00FC605F" w:rsidRDefault="00FC605F" w:rsidP="00FC605F">
      <w:r>
        <w:t>The costs associated with evaluating a program are approximately mirrored by the size and complexity of the program. For the cost allocation to reflect the EM&amp;V level of effort, the EM&amp;V team developed a methodology to allocate costs based on a combination of energy savings and the assigned evaluation priority. Allocating costs only based on energy savings would not recognize that lower-saving programs may receive a higher level of evaluation effort. Conversely, allocating costs based solely on evaluation priority would not recognize differences in the size of programs, which also increases the evaluation level of effort with increased sample sizes</w:t>
      </w:r>
      <w:r w:rsidR="00E01891">
        <w:t>, technical assistance needs, complexities of projects, etc</w:t>
      </w:r>
      <w:r>
        <w:t xml:space="preserve">. The details of the calculations are discussed next. </w:t>
      </w:r>
    </w:p>
    <w:p w14:paraId="192E8E22" w14:textId="77777777" w:rsidR="00091767" w:rsidRDefault="00091767" w:rsidP="00FC605F">
      <w:pPr>
        <w:rPr>
          <w:i/>
        </w:rPr>
      </w:pPr>
    </w:p>
    <w:p w14:paraId="2FA72C3D" w14:textId="0ACA97CF" w:rsidR="00FC605F" w:rsidRPr="001D168B" w:rsidRDefault="00FC605F" w:rsidP="00FC605F">
      <w:pPr>
        <w:rPr>
          <w:i/>
        </w:rPr>
      </w:pPr>
      <w:r w:rsidRPr="001D168B">
        <w:rPr>
          <w:i/>
        </w:rPr>
        <w:lastRenderedPageBreak/>
        <w:t>Calculations</w:t>
      </w:r>
    </w:p>
    <w:p w14:paraId="3B58F6A1" w14:textId="77777777" w:rsidR="00FC605F" w:rsidRDefault="00FC605F" w:rsidP="00FC605F">
      <w:r>
        <w:t>The EM&amp;V team used the following steps to allocate costs:</w:t>
      </w:r>
    </w:p>
    <w:p w14:paraId="5EFA497D" w14:textId="3D506829" w:rsidR="00FC605F" w:rsidRDefault="00FC605F" w:rsidP="00FC605F">
      <w:pPr>
        <w:pStyle w:val="ListParagraph"/>
        <w:numPr>
          <w:ilvl w:val="0"/>
          <w:numId w:val="16"/>
        </w:numPr>
      </w:pPr>
      <w:r>
        <w:t xml:space="preserve">calculated the energy savings of each program as a percent of the overall portfolio </w:t>
      </w:r>
      <w:r w:rsidR="00AB066F">
        <w:t>based on planning estimates in each utility’s energy efficiency plan and report (EEPR)</w:t>
      </w:r>
    </w:p>
    <w:p w14:paraId="42E239CB" w14:textId="4C8CE7B0" w:rsidR="00FC605F" w:rsidRDefault="00FC605F" w:rsidP="00FC605F">
      <w:pPr>
        <w:pStyle w:val="ListParagraph"/>
        <w:numPr>
          <w:ilvl w:val="0"/>
          <w:numId w:val="16"/>
        </w:numPr>
      </w:pPr>
      <w:r>
        <w:t xml:space="preserve">assigned priority ‘points’ using a </w:t>
      </w:r>
      <w:r w:rsidR="00E43E96">
        <w:t>five-point</w:t>
      </w:r>
      <w:r>
        <w:t xml:space="preserve"> scale: </w:t>
      </w:r>
    </w:p>
    <w:p w14:paraId="7BD00479" w14:textId="77777777" w:rsidR="00FC605F" w:rsidRDefault="00FC605F" w:rsidP="00FC605F">
      <w:pPr>
        <w:pStyle w:val="ListParagraph"/>
        <w:numPr>
          <w:ilvl w:val="1"/>
          <w:numId w:val="16"/>
        </w:numPr>
      </w:pPr>
      <w:r>
        <w:t>high priority programs receive five points</w:t>
      </w:r>
    </w:p>
    <w:p w14:paraId="76488D17" w14:textId="77777777" w:rsidR="00FC605F" w:rsidRDefault="00FC605F" w:rsidP="00FC605F">
      <w:pPr>
        <w:pStyle w:val="ListParagraph"/>
        <w:numPr>
          <w:ilvl w:val="1"/>
          <w:numId w:val="16"/>
        </w:numPr>
      </w:pPr>
      <w:r>
        <w:t xml:space="preserve">medium priority programs receive three points, and </w:t>
      </w:r>
    </w:p>
    <w:p w14:paraId="5859A45D" w14:textId="77777777" w:rsidR="00FC605F" w:rsidRDefault="00FC605F" w:rsidP="00FC605F">
      <w:pPr>
        <w:pStyle w:val="ListParagraph"/>
        <w:numPr>
          <w:ilvl w:val="1"/>
          <w:numId w:val="16"/>
        </w:numPr>
      </w:pPr>
      <w:r>
        <w:t>low priority programs receive one point</w:t>
      </w:r>
    </w:p>
    <w:p w14:paraId="02036B1E" w14:textId="77777777" w:rsidR="00FC605F" w:rsidRDefault="00FC605F" w:rsidP="00FC605F">
      <w:pPr>
        <w:pStyle w:val="ListParagraph"/>
        <w:numPr>
          <w:ilvl w:val="0"/>
          <w:numId w:val="16"/>
        </w:numPr>
      </w:pPr>
      <w:r>
        <w:t xml:space="preserve">calculated a priority weight based on a program’s percent contribution to the total priority points for the utility’s portfolio. </w:t>
      </w:r>
    </w:p>
    <w:p w14:paraId="5830FD84" w14:textId="77777777" w:rsidR="00FC605F" w:rsidRDefault="00FC605F" w:rsidP="00FC605F">
      <w:pPr>
        <w:pStyle w:val="ListParagraph"/>
        <w:numPr>
          <w:ilvl w:val="0"/>
          <w:numId w:val="16"/>
        </w:numPr>
      </w:pPr>
      <w:r>
        <w:t xml:space="preserve">averaged the savings percentage and the priority weight to arrive at the percent of portfolio EM&amp;V costs attributed to that program. </w:t>
      </w:r>
    </w:p>
    <w:p w14:paraId="6A7AA3D1" w14:textId="3110D9C2" w:rsidR="00FC605F" w:rsidRDefault="00FC605F" w:rsidP="00FC605F">
      <w:pPr>
        <w:rPr>
          <w:color w:val="1F497D"/>
        </w:rPr>
      </w:pPr>
      <w:r>
        <w:t xml:space="preserve">An example is shown in below. </w:t>
      </w:r>
      <w:r w:rsidR="00ED0662">
        <w:t>S</w:t>
      </w:r>
      <w:r>
        <w:t>eparate excel spreadsheet</w:t>
      </w:r>
      <w:r w:rsidR="00B5571D">
        <w:t xml:space="preserve">s </w:t>
      </w:r>
      <w:r w:rsidR="00ED0662">
        <w:t xml:space="preserve">are available upon request that </w:t>
      </w:r>
      <w:r w:rsidR="00B5571D">
        <w:t>detail</w:t>
      </w:r>
      <w:r>
        <w:t xml:space="preserve"> the calculations and allocation for each utility. </w:t>
      </w:r>
      <w:r w:rsidRPr="00700F1E">
        <w:t>For budgeting purposes, this is the best estimate o</w:t>
      </w:r>
      <w:r w:rsidR="00B5571D">
        <w:t xml:space="preserve">f the </w:t>
      </w:r>
      <w:r w:rsidRPr="00700F1E">
        <w:t>EM&amp;V expenses.</w:t>
      </w:r>
    </w:p>
    <w:p w14:paraId="7DEB8B39" w14:textId="77777777" w:rsidR="00FC605F" w:rsidRDefault="00FC605F" w:rsidP="00FC605F">
      <w:r>
        <w:t xml:space="preserve">    </w:t>
      </w:r>
    </w:p>
    <w:p w14:paraId="5049050A" w14:textId="0DA32AEE" w:rsidR="00FC605F" w:rsidRDefault="00FC605F" w:rsidP="00FC605F">
      <w:pPr>
        <w:pStyle w:val="Caption"/>
        <w:keepNext/>
      </w:pPr>
      <w:bookmarkStart w:id="6" w:name="_Ref356308725"/>
      <w:bookmarkStart w:id="7" w:name="_Ref356308720"/>
      <w:r>
        <w:t>Table</w:t>
      </w:r>
      <w:bookmarkEnd w:id="6"/>
      <w:r>
        <w:t>. Example of Cost Allocation Methodology</w:t>
      </w:r>
      <w:bookmarkEnd w:id="7"/>
    </w:p>
    <w:tbl>
      <w:tblPr>
        <w:tblW w:w="0" w:type="auto"/>
        <w:tblInd w:w="103" w:type="dxa"/>
        <w:tblLook w:val="04A0" w:firstRow="1" w:lastRow="0" w:firstColumn="1" w:lastColumn="0" w:noHBand="0" w:noVBand="1"/>
      </w:tblPr>
      <w:tblGrid>
        <w:gridCol w:w="2351"/>
        <w:gridCol w:w="828"/>
        <w:gridCol w:w="222"/>
        <w:gridCol w:w="1050"/>
        <w:gridCol w:w="928"/>
        <w:gridCol w:w="926"/>
        <w:gridCol w:w="1075"/>
        <w:gridCol w:w="1037"/>
        <w:gridCol w:w="1190"/>
      </w:tblGrid>
      <w:tr w:rsidR="001D168B" w:rsidRPr="00964C32" w14:paraId="4734311B" w14:textId="77777777" w:rsidTr="001D168B">
        <w:trPr>
          <w:trHeight w:val="765"/>
        </w:trPr>
        <w:tc>
          <w:tcPr>
            <w:tcW w:w="0" w:type="auto"/>
            <w:tcBorders>
              <w:top w:val="single" w:sz="4" w:space="0" w:color="auto"/>
              <w:left w:val="single" w:sz="4" w:space="0" w:color="auto"/>
              <w:bottom w:val="single" w:sz="4" w:space="0" w:color="auto"/>
              <w:right w:val="single" w:sz="4" w:space="0" w:color="auto"/>
            </w:tcBorders>
            <w:shd w:val="clear" w:color="000000" w:fill="0069AA"/>
            <w:vAlign w:val="bottom"/>
            <w:hideMark/>
          </w:tcPr>
          <w:p w14:paraId="1C5329E0" w14:textId="77777777" w:rsidR="001D168B" w:rsidRPr="00964C32" w:rsidRDefault="001D168B" w:rsidP="00E76F41">
            <w:pPr>
              <w:spacing w:before="0"/>
              <w:jc w:val="center"/>
              <w:rPr>
                <w:rFonts w:cs="Arial"/>
                <w:b/>
                <w:bCs/>
                <w:color w:val="FFFFFF"/>
                <w:sz w:val="20"/>
                <w:szCs w:val="20"/>
              </w:rPr>
            </w:pPr>
            <w:r w:rsidRPr="00964C32">
              <w:rPr>
                <w:rFonts w:cs="Arial"/>
                <w:b/>
                <w:bCs/>
                <w:color w:val="FFFFFF"/>
                <w:sz w:val="20"/>
                <w:szCs w:val="20"/>
              </w:rPr>
              <w:t>Program</w:t>
            </w:r>
          </w:p>
        </w:tc>
        <w:tc>
          <w:tcPr>
            <w:tcW w:w="0" w:type="auto"/>
            <w:tcBorders>
              <w:top w:val="single" w:sz="4" w:space="0" w:color="auto"/>
              <w:left w:val="nil"/>
              <w:bottom w:val="single" w:sz="4" w:space="0" w:color="auto"/>
              <w:right w:val="single" w:sz="4" w:space="0" w:color="auto"/>
            </w:tcBorders>
            <w:shd w:val="clear" w:color="000000" w:fill="0069AA"/>
            <w:vAlign w:val="bottom"/>
            <w:hideMark/>
          </w:tcPr>
          <w:p w14:paraId="3D7A36AA" w14:textId="77777777" w:rsidR="001D168B" w:rsidRPr="00964C32" w:rsidRDefault="001D168B" w:rsidP="00E76F41">
            <w:pPr>
              <w:spacing w:before="0"/>
              <w:jc w:val="center"/>
              <w:rPr>
                <w:rFonts w:cs="Arial"/>
                <w:b/>
                <w:bCs/>
                <w:color w:val="FFFFFF"/>
                <w:sz w:val="20"/>
                <w:szCs w:val="20"/>
              </w:rPr>
            </w:pPr>
            <w:r w:rsidRPr="00964C32">
              <w:rPr>
                <w:rFonts w:cs="Arial"/>
                <w:b/>
                <w:bCs/>
                <w:color w:val="FFFFFF"/>
                <w:sz w:val="20"/>
                <w:szCs w:val="20"/>
              </w:rPr>
              <w:t>MWh</w:t>
            </w:r>
          </w:p>
        </w:tc>
        <w:tc>
          <w:tcPr>
            <w:tcW w:w="0" w:type="auto"/>
            <w:tcBorders>
              <w:top w:val="single" w:sz="4" w:space="0" w:color="auto"/>
              <w:left w:val="nil"/>
              <w:bottom w:val="single" w:sz="4" w:space="0" w:color="auto"/>
              <w:right w:val="nil"/>
            </w:tcBorders>
            <w:shd w:val="clear" w:color="000000" w:fill="0069AA"/>
          </w:tcPr>
          <w:p w14:paraId="148FEBC1" w14:textId="77777777" w:rsidR="001D168B" w:rsidRDefault="001D168B" w:rsidP="00E76F41">
            <w:pPr>
              <w:spacing w:before="0"/>
              <w:jc w:val="center"/>
              <w:rPr>
                <w:rFonts w:cs="Arial"/>
                <w:b/>
                <w:bCs/>
                <w:color w:val="FFFFFF"/>
                <w:sz w:val="20"/>
                <w:szCs w:val="20"/>
              </w:rPr>
            </w:pPr>
          </w:p>
        </w:tc>
        <w:tc>
          <w:tcPr>
            <w:tcW w:w="0" w:type="auto"/>
            <w:tcBorders>
              <w:top w:val="single" w:sz="4" w:space="0" w:color="auto"/>
              <w:left w:val="nil"/>
              <w:bottom w:val="single" w:sz="4" w:space="0" w:color="auto"/>
              <w:right w:val="single" w:sz="4" w:space="0" w:color="auto"/>
            </w:tcBorders>
            <w:shd w:val="clear" w:color="000000" w:fill="0069AA"/>
            <w:vAlign w:val="bottom"/>
            <w:hideMark/>
          </w:tcPr>
          <w:p w14:paraId="70541657" w14:textId="77777777" w:rsidR="001D168B" w:rsidRPr="00964C32" w:rsidRDefault="001D168B" w:rsidP="00E76F41">
            <w:pPr>
              <w:spacing w:before="0"/>
              <w:jc w:val="center"/>
              <w:rPr>
                <w:rFonts w:cs="Arial"/>
                <w:b/>
                <w:bCs/>
                <w:color w:val="FFFFFF"/>
                <w:sz w:val="20"/>
                <w:szCs w:val="20"/>
              </w:rPr>
            </w:pPr>
            <w:r>
              <w:rPr>
                <w:rFonts w:cs="Arial"/>
                <w:b/>
                <w:bCs/>
                <w:color w:val="FFFFFF"/>
                <w:sz w:val="20"/>
                <w:szCs w:val="20"/>
              </w:rPr>
              <w:t xml:space="preserve">% </w:t>
            </w:r>
            <w:r w:rsidRPr="00964C32">
              <w:rPr>
                <w:rFonts w:cs="Arial"/>
                <w:b/>
                <w:bCs/>
                <w:color w:val="FFFFFF"/>
                <w:sz w:val="20"/>
                <w:szCs w:val="20"/>
              </w:rPr>
              <w:t>of Portfolio kWh</w:t>
            </w:r>
          </w:p>
        </w:tc>
        <w:tc>
          <w:tcPr>
            <w:tcW w:w="0" w:type="auto"/>
            <w:tcBorders>
              <w:top w:val="single" w:sz="4" w:space="0" w:color="auto"/>
              <w:left w:val="nil"/>
              <w:bottom w:val="single" w:sz="4" w:space="0" w:color="auto"/>
              <w:right w:val="single" w:sz="4" w:space="0" w:color="auto"/>
            </w:tcBorders>
            <w:shd w:val="clear" w:color="000000" w:fill="0069AA"/>
            <w:vAlign w:val="bottom"/>
            <w:hideMark/>
          </w:tcPr>
          <w:p w14:paraId="64E9EF87" w14:textId="77777777" w:rsidR="001D168B" w:rsidRPr="00964C32" w:rsidRDefault="001D168B" w:rsidP="00E76F41">
            <w:pPr>
              <w:spacing w:before="0"/>
              <w:jc w:val="center"/>
              <w:rPr>
                <w:rFonts w:cs="Arial"/>
                <w:b/>
                <w:bCs/>
                <w:color w:val="FFFFFF"/>
                <w:sz w:val="20"/>
                <w:szCs w:val="20"/>
              </w:rPr>
            </w:pPr>
            <w:r w:rsidRPr="00964C32">
              <w:rPr>
                <w:rFonts w:cs="Arial"/>
                <w:b/>
                <w:bCs/>
                <w:color w:val="FFFFFF"/>
                <w:sz w:val="20"/>
                <w:szCs w:val="20"/>
              </w:rPr>
              <w:t>Priority</w:t>
            </w:r>
          </w:p>
        </w:tc>
        <w:tc>
          <w:tcPr>
            <w:tcW w:w="0" w:type="auto"/>
            <w:tcBorders>
              <w:top w:val="single" w:sz="4" w:space="0" w:color="auto"/>
              <w:left w:val="nil"/>
              <w:bottom w:val="single" w:sz="4" w:space="0" w:color="auto"/>
              <w:right w:val="single" w:sz="4" w:space="0" w:color="auto"/>
            </w:tcBorders>
            <w:shd w:val="clear" w:color="000000" w:fill="0069AA"/>
            <w:vAlign w:val="bottom"/>
            <w:hideMark/>
          </w:tcPr>
          <w:p w14:paraId="7D970BD8" w14:textId="77777777" w:rsidR="001D168B" w:rsidRPr="00964C32" w:rsidRDefault="001D168B" w:rsidP="00E76F41">
            <w:pPr>
              <w:spacing w:before="0"/>
              <w:jc w:val="center"/>
              <w:rPr>
                <w:rFonts w:cs="Arial"/>
                <w:b/>
                <w:bCs/>
                <w:color w:val="FFFFFF"/>
                <w:sz w:val="20"/>
                <w:szCs w:val="20"/>
              </w:rPr>
            </w:pPr>
            <w:r w:rsidRPr="00964C32">
              <w:rPr>
                <w:rFonts w:cs="Arial"/>
                <w:b/>
                <w:bCs/>
                <w:color w:val="FFFFFF"/>
                <w:sz w:val="20"/>
                <w:szCs w:val="20"/>
              </w:rPr>
              <w:t>Priority Points</w:t>
            </w:r>
          </w:p>
        </w:tc>
        <w:tc>
          <w:tcPr>
            <w:tcW w:w="0" w:type="auto"/>
            <w:tcBorders>
              <w:top w:val="single" w:sz="4" w:space="0" w:color="auto"/>
              <w:left w:val="nil"/>
              <w:bottom w:val="single" w:sz="4" w:space="0" w:color="auto"/>
              <w:right w:val="single" w:sz="4" w:space="0" w:color="auto"/>
            </w:tcBorders>
            <w:shd w:val="clear" w:color="000000" w:fill="0069AA"/>
            <w:vAlign w:val="bottom"/>
            <w:hideMark/>
          </w:tcPr>
          <w:p w14:paraId="26AE5CB3" w14:textId="77777777" w:rsidR="001D168B" w:rsidRPr="00964C32" w:rsidRDefault="001D168B" w:rsidP="00E76F41">
            <w:pPr>
              <w:spacing w:before="0"/>
              <w:jc w:val="center"/>
              <w:rPr>
                <w:rFonts w:cs="Arial"/>
                <w:b/>
                <w:bCs/>
                <w:color w:val="FFFFFF"/>
                <w:sz w:val="20"/>
                <w:szCs w:val="20"/>
              </w:rPr>
            </w:pPr>
            <w:r>
              <w:rPr>
                <w:rFonts w:cs="Arial"/>
                <w:b/>
                <w:bCs/>
                <w:color w:val="FFFFFF"/>
                <w:sz w:val="20"/>
                <w:szCs w:val="20"/>
              </w:rPr>
              <w:t>%</w:t>
            </w:r>
            <w:r w:rsidRPr="00964C32">
              <w:rPr>
                <w:rFonts w:cs="Arial"/>
                <w:b/>
                <w:bCs/>
                <w:color w:val="FFFFFF"/>
                <w:sz w:val="20"/>
                <w:szCs w:val="20"/>
              </w:rPr>
              <w:t xml:space="preserve"> of Portfolio Points</w:t>
            </w:r>
            <w:r>
              <w:rPr>
                <w:rFonts w:cs="Arial"/>
                <w:b/>
                <w:bCs/>
                <w:color w:val="FFFFFF"/>
                <w:sz w:val="20"/>
                <w:szCs w:val="20"/>
              </w:rPr>
              <w:t xml:space="preserve"> (Priority weight)</w:t>
            </w:r>
          </w:p>
        </w:tc>
        <w:tc>
          <w:tcPr>
            <w:tcW w:w="0" w:type="auto"/>
            <w:tcBorders>
              <w:top w:val="single" w:sz="4" w:space="0" w:color="auto"/>
              <w:left w:val="nil"/>
              <w:bottom w:val="single" w:sz="4" w:space="0" w:color="auto"/>
              <w:right w:val="single" w:sz="4" w:space="0" w:color="auto"/>
            </w:tcBorders>
            <w:shd w:val="clear" w:color="000000" w:fill="0069AA"/>
            <w:vAlign w:val="bottom"/>
            <w:hideMark/>
          </w:tcPr>
          <w:p w14:paraId="0A2702FE" w14:textId="77777777" w:rsidR="001D168B" w:rsidRPr="00964C32" w:rsidRDefault="001D168B" w:rsidP="00E76F41">
            <w:pPr>
              <w:spacing w:before="0"/>
              <w:jc w:val="center"/>
              <w:rPr>
                <w:rFonts w:cs="Arial"/>
                <w:b/>
                <w:bCs/>
                <w:color w:val="FFFFFF"/>
                <w:sz w:val="20"/>
                <w:szCs w:val="20"/>
              </w:rPr>
            </w:pPr>
            <w:r w:rsidRPr="00964C32">
              <w:rPr>
                <w:rFonts w:cs="Arial"/>
                <w:b/>
                <w:bCs/>
                <w:color w:val="FFFFFF"/>
                <w:sz w:val="20"/>
                <w:szCs w:val="20"/>
              </w:rPr>
              <w:t>Average of kWh % and Priority %</w:t>
            </w:r>
          </w:p>
        </w:tc>
        <w:tc>
          <w:tcPr>
            <w:tcW w:w="0" w:type="auto"/>
            <w:tcBorders>
              <w:top w:val="single" w:sz="4" w:space="0" w:color="auto"/>
              <w:left w:val="nil"/>
              <w:bottom w:val="single" w:sz="4" w:space="0" w:color="auto"/>
              <w:right w:val="single" w:sz="4" w:space="0" w:color="auto"/>
            </w:tcBorders>
            <w:shd w:val="clear" w:color="000000" w:fill="0069AA"/>
            <w:vAlign w:val="bottom"/>
            <w:hideMark/>
          </w:tcPr>
          <w:p w14:paraId="15AA7416" w14:textId="77777777" w:rsidR="001D168B" w:rsidRPr="00964C32" w:rsidRDefault="001D168B" w:rsidP="00E76F41">
            <w:pPr>
              <w:spacing w:before="0"/>
              <w:jc w:val="center"/>
              <w:rPr>
                <w:rFonts w:cs="Arial"/>
                <w:b/>
                <w:bCs/>
                <w:color w:val="FFFFFF"/>
                <w:sz w:val="20"/>
                <w:szCs w:val="20"/>
              </w:rPr>
            </w:pPr>
            <w:r>
              <w:rPr>
                <w:rFonts w:cs="Arial"/>
                <w:b/>
                <w:bCs/>
                <w:color w:val="FFFFFF"/>
                <w:sz w:val="20"/>
                <w:szCs w:val="20"/>
              </w:rPr>
              <w:t>Cost Allocation</w:t>
            </w:r>
          </w:p>
        </w:tc>
      </w:tr>
      <w:tr w:rsidR="001D168B" w:rsidRPr="00964C32" w14:paraId="3A9B86A2" w14:textId="77777777" w:rsidTr="001D168B">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4CACBB" w14:textId="77777777" w:rsidR="001D168B" w:rsidRPr="00964C32" w:rsidRDefault="001D168B" w:rsidP="00E76F41">
            <w:pPr>
              <w:spacing w:before="0"/>
              <w:rPr>
                <w:rFonts w:cs="Arial"/>
                <w:color w:val="000000"/>
                <w:sz w:val="20"/>
                <w:szCs w:val="20"/>
              </w:rPr>
            </w:pPr>
            <w:r w:rsidRPr="00964C32">
              <w:rPr>
                <w:rFonts w:cs="Arial"/>
                <w:color w:val="000000"/>
                <w:sz w:val="20"/>
                <w:szCs w:val="20"/>
              </w:rPr>
              <w:t>Commercial SOP</w:t>
            </w:r>
          </w:p>
        </w:tc>
        <w:tc>
          <w:tcPr>
            <w:tcW w:w="0" w:type="auto"/>
            <w:tcBorders>
              <w:top w:val="nil"/>
              <w:left w:val="nil"/>
              <w:bottom w:val="single" w:sz="4" w:space="0" w:color="auto"/>
              <w:right w:val="single" w:sz="4" w:space="0" w:color="auto"/>
            </w:tcBorders>
            <w:shd w:val="clear" w:color="auto" w:fill="auto"/>
            <w:noWrap/>
            <w:vAlign w:val="bottom"/>
            <w:hideMark/>
          </w:tcPr>
          <w:p w14:paraId="708B4631"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3,500</w:t>
            </w:r>
          </w:p>
        </w:tc>
        <w:tc>
          <w:tcPr>
            <w:tcW w:w="0" w:type="auto"/>
            <w:tcBorders>
              <w:top w:val="nil"/>
              <w:left w:val="nil"/>
              <w:bottom w:val="single" w:sz="4" w:space="0" w:color="auto"/>
              <w:right w:val="nil"/>
            </w:tcBorders>
          </w:tcPr>
          <w:p w14:paraId="2A10B1D9" w14:textId="77777777" w:rsidR="001D168B" w:rsidRPr="00964C32" w:rsidRDefault="001D168B" w:rsidP="00E76F41">
            <w:pPr>
              <w:spacing w:before="0"/>
              <w:jc w:val="right"/>
              <w:rPr>
                <w:rFonts w:cs="Arial"/>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hideMark/>
          </w:tcPr>
          <w:p w14:paraId="5D83A8F9"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30.3%</w:t>
            </w:r>
          </w:p>
        </w:tc>
        <w:tc>
          <w:tcPr>
            <w:tcW w:w="0" w:type="auto"/>
            <w:tcBorders>
              <w:top w:val="nil"/>
              <w:left w:val="nil"/>
              <w:bottom w:val="single" w:sz="4" w:space="0" w:color="auto"/>
              <w:right w:val="single" w:sz="4" w:space="0" w:color="auto"/>
            </w:tcBorders>
            <w:shd w:val="clear" w:color="auto" w:fill="auto"/>
            <w:noWrap/>
            <w:vAlign w:val="bottom"/>
            <w:hideMark/>
          </w:tcPr>
          <w:p w14:paraId="1EF63BD0" w14:textId="77777777" w:rsidR="001D168B" w:rsidRPr="00964C32" w:rsidRDefault="001D168B" w:rsidP="00E76F41">
            <w:pPr>
              <w:spacing w:before="0"/>
              <w:rPr>
                <w:rFonts w:cs="Arial"/>
                <w:color w:val="000000"/>
                <w:sz w:val="20"/>
                <w:szCs w:val="20"/>
              </w:rPr>
            </w:pPr>
            <w:r w:rsidRPr="00964C32">
              <w:rPr>
                <w:rFonts w:cs="Arial"/>
                <w:color w:val="000000"/>
                <w:sz w:val="20"/>
                <w:szCs w:val="20"/>
              </w:rPr>
              <w:t>High</w:t>
            </w:r>
          </w:p>
        </w:tc>
        <w:tc>
          <w:tcPr>
            <w:tcW w:w="0" w:type="auto"/>
            <w:tcBorders>
              <w:top w:val="nil"/>
              <w:left w:val="nil"/>
              <w:bottom w:val="single" w:sz="4" w:space="0" w:color="auto"/>
              <w:right w:val="single" w:sz="4" w:space="0" w:color="auto"/>
            </w:tcBorders>
            <w:shd w:val="clear" w:color="auto" w:fill="auto"/>
            <w:noWrap/>
            <w:vAlign w:val="bottom"/>
            <w:hideMark/>
          </w:tcPr>
          <w:p w14:paraId="67616EDB"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hideMark/>
          </w:tcPr>
          <w:p w14:paraId="1FE6AEAA"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23.8%</w:t>
            </w:r>
          </w:p>
        </w:tc>
        <w:tc>
          <w:tcPr>
            <w:tcW w:w="0" w:type="auto"/>
            <w:tcBorders>
              <w:top w:val="nil"/>
              <w:left w:val="nil"/>
              <w:bottom w:val="single" w:sz="4" w:space="0" w:color="auto"/>
              <w:right w:val="single" w:sz="4" w:space="0" w:color="auto"/>
            </w:tcBorders>
            <w:shd w:val="clear" w:color="auto" w:fill="auto"/>
            <w:noWrap/>
            <w:vAlign w:val="bottom"/>
            <w:hideMark/>
          </w:tcPr>
          <w:p w14:paraId="6FC760D5"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27.0%</w:t>
            </w:r>
          </w:p>
        </w:tc>
        <w:tc>
          <w:tcPr>
            <w:tcW w:w="0" w:type="auto"/>
            <w:tcBorders>
              <w:top w:val="nil"/>
              <w:left w:val="nil"/>
              <w:bottom w:val="single" w:sz="4" w:space="0" w:color="auto"/>
              <w:right w:val="single" w:sz="4" w:space="0" w:color="auto"/>
            </w:tcBorders>
            <w:shd w:val="clear" w:color="auto" w:fill="auto"/>
            <w:noWrap/>
            <w:vAlign w:val="bottom"/>
            <w:hideMark/>
          </w:tcPr>
          <w:p w14:paraId="4EDACA9B"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$67,611</w:t>
            </w:r>
          </w:p>
        </w:tc>
      </w:tr>
      <w:tr w:rsidR="001D168B" w:rsidRPr="00964C32" w14:paraId="434CFCB2" w14:textId="77777777" w:rsidTr="001D168B">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88C506" w14:textId="77777777" w:rsidR="001D168B" w:rsidRPr="00964C32" w:rsidRDefault="001D168B" w:rsidP="00E76F41">
            <w:pPr>
              <w:spacing w:before="0"/>
              <w:rPr>
                <w:rFonts w:cs="Arial"/>
                <w:color w:val="000000"/>
                <w:sz w:val="20"/>
                <w:szCs w:val="20"/>
              </w:rPr>
            </w:pPr>
            <w:r w:rsidRPr="00964C32">
              <w:rPr>
                <w:rFonts w:cs="Arial"/>
                <w:color w:val="000000"/>
                <w:sz w:val="20"/>
                <w:szCs w:val="20"/>
              </w:rPr>
              <w:t>Load Management</w:t>
            </w:r>
          </w:p>
        </w:tc>
        <w:tc>
          <w:tcPr>
            <w:tcW w:w="0" w:type="auto"/>
            <w:tcBorders>
              <w:top w:val="nil"/>
              <w:left w:val="nil"/>
              <w:bottom w:val="single" w:sz="4" w:space="0" w:color="auto"/>
              <w:right w:val="single" w:sz="4" w:space="0" w:color="auto"/>
            </w:tcBorders>
            <w:shd w:val="clear" w:color="auto" w:fill="auto"/>
            <w:noWrap/>
            <w:vAlign w:val="bottom"/>
            <w:hideMark/>
          </w:tcPr>
          <w:p w14:paraId="48FB5EA8"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4</w:t>
            </w:r>
          </w:p>
        </w:tc>
        <w:tc>
          <w:tcPr>
            <w:tcW w:w="0" w:type="auto"/>
            <w:tcBorders>
              <w:top w:val="nil"/>
              <w:left w:val="nil"/>
              <w:bottom w:val="single" w:sz="4" w:space="0" w:color="auto"/>
              <w:right w:val="nil"/>
            </w:tcBorders>
          </w:tcPr>
          <w:p w14:paraId="6E6B2706" w14:textId="77777777" w:rsidR="001D168B" w:rsidRPr="00964C32" w:rsidRDefault="001D168B" w:rsidP="00E76F41">
            <w:pPr>
              <w:spacing w:before="0"/>
              <w:jc w:val="right"/>
              <w:rPr>
                <w:rFonts w:cs="Arial"/>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hideMark/>
          </w:tcPr>
          <w:p w14:paraId="1FC502C6"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0.0%</w:t>
            </w:r>
          </w:p>
        </w:tc>
        <w:tc>
          <w:tcPr>
            <w:tcW w:w="0" w:type="auto"/>
            <w:tcBorders>
              <w:top w:val="nil"/>
              <w:left w:val="nil"/>
              <w:bottom w:val="single" w:sz="4" w:space="0" w:color="auto"/>
              <w:right w:val="single" w:sz="4" w:space="0" w:color="auto"/>
            </w:tcBorders>
            <w:shd w:val="clear" w:color="auto" w:fill="auto"/>
            <w:noWrap/>
            <w:vAlign w:val="bottom"/>
            <w:hideMark/>
          </w:tcPr>
          <w:p w14:paraId="6408277D" w14:textId="77777777" w:rsidR="001D168B" w:rsidRPr="00964C32" w:rsidRDefault="001D168B" w:rsidP="00E76F41">
            <w:pPr>
              <w:spacing w:before="0"/>
              <w:rPr>
                <w:rFonts w:cs="Arial"/>
                <w:color w:val="000000"/>
                <w:sz w:val="20"/>
                <w:szCs w:val="20"/>
              </w:rPr>
            </w:pPr>
            <w:r w:rsidRPr="00964C32">
              <w:rPr>
                <w:rFonts w:cs="Arial"/>
                <w:color w:val="000000"/>
                <w:sz w:val="20"/>
                <w:szCs w:val="20"/>
              </w:rPr>
              <w:t>Low</w:t>
            </w:r>
          </w:p>
        </w:tc>
        <w:tc>
          <w:tcPr>
            <w:tcW w:w="0" w:type="auto"/>
            <w:tcBorders>
              <w:top w:val="nil"/>
              <w:left w:val="nil"/>
              <w:bottom w:val="single" w:sz="4" w:space="0" w:color="auto"/>
              <w:right w:val="single" w:sz="4" w:space="0" w:color="auto"/>
            </w:tcBorders>
            <w:shd w:val="clear" w:color="auto" w:fill="auto"/>
            <w:noWrap/>
            <w:vAlign w:val="bottom"/>
            <w:hideMark/>
          </w:tcPr>
          <w:p w14:paraId="27DFE424"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hideMark/>
          </w:tcPr>
          <w:p w14:paraId="53400AF9"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4.8%</w:t>
            </w:r>
          </w:p>
        </w:tc>
        <w:tc>
          <w:tcPr>
            <w:tcW w:w="0" w:type="auto"/>
            <w:tcBorders>
              <w:top w:val="nil"/>
              <w:left w:val="nil"/>
              <w:bottom w:val="single" w:sz="4" w:space="0" w:color="auto"/>
              <w:right w:val="single" w:sz="4" w:space="0" w:color="auto"/>
            </w:tcBorders>
            <w:shd w:val="clear" w:color="auto" w:fill="auto"/>
            <w:noWrap/>
            <w:vAlign w:val="bottom"/>
            <w:hideMark/>
          </w:tcPr>
          <w:p w14:paraId="5AF1E0C0"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2.4%</w:t>
            </w:r>
          </w:p>
        </w:tc>
        <w:tc>
          <w:tcPr>
            <w:tcW w:w="0" w:type="auto"/>
            <w:tcBorders>
              <w:top w:val="nil"/>
              <w:left w:val="nil"/>
              <w:bottom w:val="single" w:sz="4" w:space="0" w:color="auto"/>
              <w:right w:val="single" w:sz="4" w:space="0" w:color="auto"/>
            </w:tcBorders>
            <w:shd w:val="clear" w:color="auto" w:fill="auto"/>
            <w:noWrap/>
            <w:vAlign w:val="bottom"/>
            <w:hideMark/>
          </w:tcPr>
          <w:p w14:paraId="0C480DFB"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$5,996</w:t>
            </w:r>
          </w:p>
        </w:tc>
      </w:tr>
      <w:tr w:rsidR="001D168B" w:rsidRPr="00964C32" w14:paraId="3C79E346" w14:textId="77777777" w:rsidTr="001D168B">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872070" w14:textId="77777777" w:rsidR="001D168B" w:rsidRPr="00964C32" w:rsidRDefault="001D168B" w:rsidP="00E76F41">
            <w:pPr>
              <w:spacing w:before="0"/>
              <w:rPr>
                <w:rFonts w:cs="Arial"/>
                <w:color w:val="000000"/>
                <w:sz w:val="20"/>
                <w:szCs w:val="20"/>
              </w:rPr>
            </w:pPr>
            <w:r w:rsidRPr="00964C32">
              <w:rPr>
                <w:rFonts w:cs="Arial"/>
                <w:color w:val="000000"/>
                <w:sz w:val="20"/>
                <w:szCs w:val="20"/>
              </w:rPr>
              <w:t>Residential New Homes</w:t>
            </w:r>
          </w:p>
        </w:tc>
        <w:tc>
          <w:tcPr>
            <w:tcW w:w="0" w:type="auto"/>
            <w:tcBorders>
              <w:top w:val="nil"/>
              <w:left w:val="nil"/>
              <w:bottom w:val="single" w:sz="4" w:space="0" w:color="auto"/>
              <w:right w:val="single" w:sz="4" w:space="0" w:color="auto"/>
            </w:tcBorders>
            <w:shd w:val="clear" w:color="auto" w:fill="auto"/>
            <w:noWrap/>
            <w:vAlign w:val="bottom"/>
            <w:hideMark/>
          </w:tcPr>
          <w:p w14:paraId="09F4587C"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780</w:t>
            </w:r>
          </w:p>
        </w:tc>
        <w:tc>
          <w:tcPr>
            <w:tcW w:w="0" w:type="auto"/>
            <w:tcBorders>
              <w:top w:val="nil"/>
              <w:left w:val="nil"/>
              <w:bottom w:val="single" w:sz="4" w:space="0" w:color="auto"/>
              <w:right w:val="nil"/>
            </w:tcBorders>
          </w:tcPr>
          <w:p w14:paraId="7DF340D2" w14:textId="77777777" w:rsidR="001D168B" w:rsidRPr="00964C32" w:rsidRDefault="001D168B" w:rsidP="00E76F41">
            <w:pPr>
              <w:spacing w:before="0"/>
              <w:jc w:val="right"/>
              <w:rPr>
                <w:rFonts w:cs="Arial"/>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hideMark/>
          </w:tcPr>
          <w:p w14:paraId="780AA5D5"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6.7%</w:t>
            </w:r>
          </w:p>
        </w:tc>
        <w:tc>
          <w:tcPr>
            <w:tcW w:w="0" w:type="auto"/>
            <w:tcBorders>
              <w:top w:val="nil"/>
              <w:left w:val="nil"/>
              <w:bottom w:val="single" w:sz="4" w:space="0" w:color="auto"/>
              <w:right w:val="single" w:sz="4" w:space="0" w:color="auto"/>
            </w:tcBorders>
            <w:shd w:val="clear" w:color="auto" w:fill="auto"/>
            <w:noWrap/>
            <w:vAlign w:val="bottom"/>
            <w:hideMark/>
          </w:tcPr>
          <w:p w14:paraId="4B88CBCC" w14:textId="77777777" w:rsidR="001D168B" w:rsidRPr="00964C32" w:rsidRDefault="001D168B" w:rsidP="00E76F41">
            <w:pPr>
              <w:spacing w:before="0"/>
              <w:rPr>
                <w:rFonts w:cs="Arial"/>
                <w:color w:val="000000"/>
                <w:sz w:val="20"/>
                <w:szCs w:val="20"/>
              </w:rPr>
            </w:pPr>
            <w:r w:rsidRPr="00964C32">
              <w:rPr>
                <w:rFonts w:cs="Arial"/>
                <w:color w:val="000000"/>
                <w:sz w:val="20"/>
                <w:szCs w:val="20"/>
              </w:rPr>
              <w:t>Medium</w:t>
            </w:r>
          </w:p>
        </w:tc>
        <w:tc>
          <w:tcPr>
            <w:tcW w:w="0" w:type="auto"/>
            <w:tcBorders>
              <w:top w:val="nil"/>
              <w:left w:val="nil"/>
              <w:bottom w:val="single" w:sz="4" w:space="0" w:color="auto"/>
              <w:right w:val="single" w:sz="4" w:space="0" w:color="auto"/>
            </w:tcBorders>
            <w:shd w:val="clear" w:color="auto" w:fill="auto"/>
            <w:noWrap/>
            <w:vAlign w:val="bottom"/>
            <w:hideMark/>
          </w:tcPr>
          <w:p w14:paraId="59FF2ED8"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hideMark/>
          </w:tcPr>
          <w:p w14:paraId="2DB4F73A"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14.3%</w:t>
            </w:r>
          </w:p>
        </w:tc>
        <w:tc>
          <w:tcPr>
            <w:tcW w:w="0" w:type="auto"/>
            <w:tcBorders>
              <w:top w:val="nil"/>
              <w:left w:val="nil"/>
              <w:bottom w:val="single" w:sz="4" w:space="0" w:color="auto"/>
              <w:right w:val="single" w:sz="4" w:space="0" w:color="auto"/>
            </w:tcBorders>
            <w:shd w:val="clear" w:color="auto" w:fill="auto"/>
            <w:noWrap/>
            <w:vAlign w:val="bottom"/>
            <w:hideMark/>
          </w:tcPr>
          <w:p w14:paraId="127D2EFC"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10.5%</w:t>
            </w:r>
          </w:p>
        </w:tc>
        <w:tc>
          <w:tcPr>
            <w:tcW w:w="0" w:type="auto"/>
            <w:tcBorders>
              <w:top w:val="nil"/>
              <w:left w:val="nil"/>
              <w:bottom w:val="single" w:sz="4" w:space="0" w:color="auto"/>
              <w:right w:val="single" w:sz="4" w:space="0" w:color="auto"/>
            </w:tcBorders>
            <w:shd w:val="clear" w:color="auto" w:fill="auto"/>
            <w:noWrap/>
            <w:vAlign w:val="bottom"/>
            <w:hideMark/>
          </w:tcPr>
          <w:p w14:paraId="678034E3"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$26,292</w:t>
            </w:r>
          </w:p>
        </w:tc>
      </w:tr>
      <w:tr w:rsidR="001D168B" w:rsidRPr="00964C32" w14:paraId="3E950188" w14:textId="77777777" w:rsidTr="001D168B">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B10C31B" w14:textId="77777777" w:rsidR="001D168B" w:rsidRPr="00964C32" w:rsidRDefault="001D168B" w:rsidP="00E76F41">
            <w:pPr>
              <w:spacing w:before="0"/>
              <w:rPr>
                <w:rFonts w:cs="Arial"/>
                <w:color w:val="000000"/>
                <w:sz w:val="20"/>
                <w:szCs w:val="20"/>
              </w:rPr>
            </w:pPr>
            <w:r w:rsidRPr="00964C32">
              <w:rPr>
                <w:rFonts w:cs="Arial"/>
                <w:color w:val="000000"/>
                <w:sz w:val="20"/>
                <w:szCs w:val="20"/>
              </w:rPr>
              <w:t>Residential SOP</w:t>
            </w:r>
          </w:p>
        </w:tc>
        <w:tc>
          <w:tcPr>
            <w:tcW w:w="0" w:type="auto"/>
            <w:tcBorders>
              <w:top w:val="nil"/>
              <w:left w:val="nil"/>
              <w:bottom w:val="single" w:sz="4" w:space="0" w:color="auto"/>
              <w:right w:val="single" w:sz="4" w:space="0" w:color="auto"/>
            </w:tcBorders>
            <w:shd w:val="clear" w:color="auto" w:fill="auto"/>
            <w:noWrap/>
            <w:vAlign w:val="bottom"/>
            <w:hideMark/>
          </w:tcPr>
          <w:p w14:paraId="3D19B202"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5,000</w:t>
            </w:r>
          </w:p>
        </w:tc>
        <w:tc>
          <w:tcPr>
            <w:tcW w:w="0" w:type="auto"/>
            <w:tcBorders>
              <w:top w:val="nil"/>
              <w:left w:val="nil"/>
              <w:bottom w:val="single" w:sz="4" w:space="0" w:color="auto"/>
              <w:right w:val="nil"/>
            </w:tcBorders>
          </w:tcPr>
          <w:p w14:paraId="1DCED058" w14:textId="77777777" w:rsidR="001D168B" w:rsidRPr="00964C32" w:rsidRDefault="001D168B" w:rsidP="00E76F41">
            <w:pPr>
              <w:spacing w:before="0"/>
              <w:jc w:val="right"/>
              <w:rPr>
                <w:rFonts w:cs="Arial"/>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hideMark/>
          </w:tcPr>
          <w:p w14:paraId="221B7CBD"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43.3%</w:t>
            </w:r>
          </w:p>
        </w:tc>
        <w:tc>
          <w:tcPr>
            <w:tcW w:w="0" w:type="auto"/>
            <w:tcBorders>
              <w:top w:val="nil"/>
              <w:left w:val="nil"/>
              <w:bottom w:val="single" w:sz="4" w:space="0" w:color="auto"/>
              <w:right w:val="single" w:sz="4" w:space="0" w:color="auto"/>
            </w:tcBorders>
            <w:shd w:val="clear" w:color="auto" w:fill="auto"/>
            <w:noWrap/>
            <w:vAlign w:val="bottom"/>
            <w:hideMark/>
          </w:tcPr>
          <w:p w14:paraId="138D1E0D" w14:textId="77777777" w:rsidR="001D168B" w:rsidRPr="00964C32" w:rsidRDefault="001D168B" w:rsidP="00E76F41">
            <w:pPr>
              <w:spacing w:before="0"/>
              <w:rPr>
                <w:rFonts w:cs="Arial"/>
                <w:color w:val="000000"/>
                <w:sz w:val="20"/>
                <w:szCs w:val="20"/>
              </w:rPr>
            </w:pPr>
            <w:r w:rsidRPr="00964C32">
              <w:rPr>
                <w:rFonts w:cs="Arial"/>
                <w:color w:val="000000"/>
                <w:sz w:val="20"/>
                <w:szCs w:val="20"/>
              </w:rPr>
              <w:t>High</w:t>
            </w:r>
          </w:p>
        </w:tc>
        <w:tc>
          <w:tcPr>
            <w:tcW w:w="0" w:type="auto"/>
            <w:tcBorders>
              <w:top w:val="nil"/>
              <w:left w:val="nil"/>
              <w:bottom w:val="single" w:sz="4" w:space="0" w:color="auto"/>
              <w:right w:val="single" w:sz="4" w:space="0" w:color="auto"/>
            </w:tcBorders>
            <w:shd w:val="clear" w:color="auto" w:fill="auto"/>
            <w:noWrap/>
            <w:vAlign w:val="bottom"/>
            <w:hideMark/>
          </w:tcPr>
          <w:p w14:paraId="27C6A5D3"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bottom"/>
            <w:hideMark/>
          </w:tcPr>
          <w:p w14:paraId="0AD465F9"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23.8%</w:t>
            </w:r>
          </w:p>
        </w:tc>
        <w:tc>
          <w:tcPr>
            <w:tcW w:w="0" w:type="auto"/>
            <w:tcBorders>
              <w:top w:val="nil"/>
              <w:left w:val="nil"/>
              <w:bottom w:val="single" w:sz="4" w:space="0" w:color="auto"/>
              <w:right w:val="single" w:sz="4" w:space="0" w:color="auto"/>
            </w:tcBorders>
            <w:shd w:val="clear" w:color="auto" w:fill="auto"/>
            <w:noWrap/>
            <w:vAlign w:val="bottom"/>
            <w:hideMark/>
          </w:tcPr>
          <w:p w14:paraId="1158BE87"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33.5%</w:t>
            </w:r>
          </w:p>
        </w:tc>
        <w:tc>
          <w:tcPr>
            <w:tcW w:w="0" w:type="auto"/>
            <w:tcBorders>
              <w:top w:val="nil"/>
              <w:left w:val="nil"/>
              <w:bottom w:val="single" w:sz="4" w:space="0" w:color="auto"/>
              <w:right w:val="single" w:sz="4" w:space="0" w:color="auto"/>
            </w:tcBorders>
            <w:shd w:val="clear" w:color="auto" w:fill="auto"/>
            <w:noWrap/>
            <w:vAlign w:val="bottom"/>
            <w:hideMark/>
          </w:tcPr>
          <w:p w14:paraId="1491F5F2"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$83,832</w:t>
            </w:r>
          </w:p>
        </w:tc>
      </w:tr>
      <w:tr w:rsidR="001D168B" w:rsidRPr="00964C32" w14:paraId="77D98CB4" w14:textId="77777777" w:rsidTr="001D168B">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689638" w14:textId="77777777" w:rsidR="001D168B" w:rsidRPr="00964C32" w:rsidRDefault="001D168B" w:rsidP="00E76F41">
            <w:pPr>
              <w:spacing w:before="0"/>
              <w:rPr>
                <w:rFonts w:cs="Arial"/>
                <w:color w:val="000000"/>
                <w:sz w:val="20"/>
                <w:szCs w:val="20"/>
              </w:rPr>
            </w:pPr>
            <w:r w:rsidRPr="00964C32">
              <w:rPr>
                <w:rFonts w:cs="Arial"/>
                <w:color w:val="000000"/>
                <w:sz w:val="20"/>
                <w:szCs w:val="20"/>
              </w:rPr>
              <w:t>Energy Wise</w:t>
            </w:r>
            <w:r>
              <w:rPr>
                <w:rFonts w:cs="Arial"/>
                <w:color w:val="000000"/>
                <w:sz w:val="20"/>
                <w:szCs w:val="20"/>
              </w:rPr>
              <w:t xml:space="preserve"> MTP</w:t>
            </w:r>
          </w:p>
        </w:tc>
        <w:tc>
          <w:tcPr>
            <w:tcW w:w="0" w:type="auto"/>
            <w:tcBorders>
              <w:top w:val="nil"/>
              <w:left w:val="nil"/>
              <w:bottom w:val="single" w:sz="4" w:space="0" w:color="auto"/>
              <w:right w:val="single" w:sz="4" w:space="0" w:color="auto"/>
            </w:tcBorders>
            <w:shd w:val="clear" w:color="auto" w:fill="auto"/>
            <w:noWrap/>
            <w:vAlign w:val="bottom"/>
            <w:hideMark/>
          </w:tcPr>
          <w:p w14:paraId="4857DE0D"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125</w:t>
            </w:r>
          </w:p>
        </w:tc>
        <w:tc>
          <w:tcPr>
            <w:tcW w:w="0" w:type="auto"/>
            <w:tcBorders>
              <w:top w:val="nil"/>
              <w:left w:val="nil"/>
              <w:bottom w:val="single" w:sz="4" w:space="0" w:color="auto"/>
              <w:right w:val="nil"/>
            </w:tcBorders>
          </w:tcPr>
          <w:p w14:paraId="6DEE6E5D" w14:textId="77777777" w:rsidR="001D168B" w:rsidRPr="00964C32" w:rsidRDefault="001D168B" w:rsidP="00E76F41">
            <w:pPr>
              <w:spacing w:before="0"/>
              <w:jc w:val="right"/>
              <w:rPr>
                <w:rFonts w:cs="Arial"/>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hideMark/>
          </w:tcPr>
          <w:p w14:paraId="6F0CD739"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1.1%</w:t>
            </w:r>
          </w:p>
        </w:tc>
        <w:tc>
          <w:tcPr>
            <w:tcW w:w="0" w:type="auto"/>
            <w:tcBorders>
              <w:top w:val="nil"/>
              <w:left w:val="nil"/>
              <w:bottom w:val="single" w:sz="4" w:space="0" w:color="auto"/>
              <w:right w:val="single" w:sz="4" w:space="0" w:color="auto"/>
            </w:tcBorders>
            <w:shd w:val="clear" w:color="auto" w:fill="auto"/>
            <w:noWrap/>
            <w:vAlign w:val="bottom"/>
            <w:hideMark/>
          </w:tcPr>
          <w:p w14:paraId="5AA9A635" w14:textId="77777777" w:rsidR="001D168B" w:rsidRPr="00964C32" w:rsidRDefault="001D168B" w:rsidP="00E76F41">
            <w:pPr>
              <w:spacing w:before="0"/>
              <w:rPr>
                <w:rFonts w:cs="Arial"/>
                <w:color w:val="000000"/>
                <w:sz w:val="20"/>
                <w:szCs w:val="20"/>
              </w:rPr>
            </w:pPr>
            <w:r w:rsidRPr="00964C32">
              <w:rPr>
                <w:rFonts w:cs="Arial"/>
                <w:color w:val="000000"/>
                <w:sz w:val="20"/>
                <w:szCs w:val="20"/>
              </w:rPr>
              <w:t>Low</w:t>
            </w:r>
          </w:p>
        </w:tc>
        <w:tc>
          <w:tcPr>
            <w:tcW w:w="0" w:type="auto"/>
            <w:tcBorders>
              <w:top w:val="nil"/>
              <w:left w:val="nil"/>
              <w:bottom w:val="single" w:sz="4" w:space="0" w:color="auto"/>
              <w:right w:val="single" w:sz="4" w:space="0" w:color="auto"/>
            </w:tcBorders>
            <w:shd w:val="clear" w:color="auto" w:fill="auto"/>
            <w:noWrap/>
            <w:vAlign w:val="bottom"/>
            <w:hideMark/>
          </w:tcPr>
          <w:p w14:paraId="395A2CE0"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1</w:t>
            </w:r>
          </w:p>
        </w:tc>
        <w:tc>
          <w:tcPr>
            <w:tcW w:w="0" w:type="auto"/>
            <w:tcBorders>
              <w:top w:val="nil"/>
              <w:left w:val="nil"/>
              <w:bottom w:val="single" w:sz="4" w:space="0" w:color="auto"/>
              <w:right w:val="single" w:sz="4" w:space="0" w:color="auto"/>
            </w:tcBorders>
            <w:shd w:val="clear" w:color="auto" w:fill="auto"/>
            <w:noWrap/>
            <w:vAlign w:val="bottom"/>
            <w:hideMark/>
          </w:tcPr>
          <w:p w14:paraId="53785D3F"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4.8%</w:t>
            </w:r>
          </w:p>
        </w:tc>
        <w:tc>
          <w:tcPr>
            <w:tcW w:w="0" w:type="auto"/>
            <w:tcBorders>
              <w:top w:val="nil"/>
              <w:left w:val="nil"/>
              <w:bottom w:val="single" w:sz="4" w:space="0" w:color="auto"/>
              <w:right w:val="single" w:sz="4" w:space="0" w:color="auto"/>
            </w:tcBorders>
            <w:shd w:val="clear" w:color="auto" w:fill="auto"/>
            <w:noWrap/>
            <w:vAlign w:val="bottom"/>
            <w:hideMark/>
          </w:tcPr>
          <w:p w14:paraId="4B9E2BDA"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2.9%</w:t>
            </w:r>
          </w:p>
        </w:tc>
        <w:tc>
          <w:tcPr>
            <w:tcW w:w="0" w:type="auto"/>
            <w:tcBorders>
              <w:top w:val="nil"/>
              <w:left w:val="nil"/>
              <w:bottom w:val="single" w:sz="4" w:space="0" w:color="auto"/>
              <w:right w:val="single" w:sz="4" w:space="0" w:color="auto"/>
            </w:tcBorders>
            <w:shd w:val="clear" w:color="auto" w:fill="auto"/>
            <w:noWrap/>
            <w:vAlign w:val="bottom"/>
            <w:hideMark/>
          </w:tcPr>
          <w:p w14:paraId="0E052E9A"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$7,304</w:t>
            </w:r>
          </w:p>
        </w:tc>
      </w:tr>
      <w:tr w:rsidR="001D168B" w:rsidRPr="00964C32" w14:paraId="4A000FCC" w14:textId="77777777" w:rsidTr="001D168B">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F7CF85" w14:textId="77777777" w:rsidR="001D168B" w:rsidRPr="00964C32" w:rsidRDefault="001D168B" w:rsidP="00E76F41">
            <w:pPr>
              <w:spacing w:before="0"/>
              <w:rPr>
                <w:rFonts w:cs="Arial"/>
                <w:color w:val="000000"/>
                <w:sz w:val="20"/>
                <w:szCs w:val="20"/>
              </w:rPr>
            </w:pPr>
            <w:r w:rsidRPr="00964C32">
              <w:rPr>
                <w:rFonts w:cs="Arial"/>
                <w:color w:val="000000"/>
                <w:sz w:val="20"/>
                <w:szCs w:val="20"/>
              </w:rPr>
              <w:t>Hard-to-Reach MTP</w:t>
            </w:r>
          </w:p>
        </w:tc>
        <w:tc>
          <w:tcPr>
            <w:tcW w:w="0" w:type="auto"/>
            <w:tcBorders>
              <w:top w:val="nil"/>
              <w:left w:val="nil"/>
              <w:bottom w:val="single" w:sz="4" w:space="0" w:color="auto"/>
              <w:right w:val="single" w:sz="4" w:space="0" w:color="auto"/>
            </w:tcBorders>
            <w:shd w:val="clear" w:color="auto" w:fill="auto"/>
            <w:noWrap/>
            <w:vAlign w:val="bottom"/>
            <w:hideMark/>
          </w:tcPr>
          <w:p w14:paraId="10E12485"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1,400</w:t>
            </w:r>
          </w:p>
        </w:tc>
        <w:tc>
          <w:tcPr>
            <w:tcW w:w="0" w:type="auto"/>
            <w:tcBorders>
              <w:top w:val="nil"/>
              <w:left w:val="nil"/>
              <w:bottom w:val="single" w:sz="4" w:space="0" w:color="auto"/>
              <w:right w:val="nil"/>
            </w:tcBorders>
          </w:tcPr>
          <w:p w14:paraId="2842B7E4" w14:textId="77777777" w:rsidR="001D168B" w:rsidRPr="00964C32" w:rsidRDefault="001D168B" w:rsidP="00E76F41">
            <w:pPr>
              <w:spacing w:before="0"/>
              <w:jc w:val="right"/>
              <w:rPr>
                <w:rFonts w:cs="Arial"/>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hideMark/>
          </w:tcPr>
          <w:p w14:paraId="22957ACD"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12.1%</w:t>
            </w:r>
          </w:p>
        </w:tc>
        <w:tc>
          <w:tcPr>
            <w:tcW w:w="0" w:type="auto"/>
            <w:tcBorders>
              <w:top w:val="nil"/>
              <w:left w:val="nil"/>
              <w:bottom w:val="single" w:sz="4" w:space="0" w:color="auto"/>
              <w:right w:val="single" w:sz="4" w:space="0" w:color="auto"/>
            </w:tcBorders>
            <w:shd w:val="clear" w:color="auto" w:fill="auto"/>
            <w:noWrap/>
            <w:vAlign w:val="bottom"/>
            <w:hideMark/>
          </w:tcPr>
          <w:p w14:paraId="5B94BD33" w14:textId="77777777" w:rsidR="001D168B" w:rsidRPr="00964C32" w:rsidRDefault="001D168B" w:rsidP="00E76F41">
            <w:pPr>
              <w:spacing w:before="0"/>
              <w:rPr>
                <w:rFonts w:cs="Arial"/>
                <w:color w:val="000000"/>
                <w:sz w:val="20"/>
                <w:szCs w:val="20"/>
              </w:rPr>
            </w:pPr>
            <w:r w:rsidRPr="00964C32">
              <w:rPr>
                <w:rFonts w:cs="Arial"/>
                <w:color w:val="000000"/>
                <w:sz w:val="20"/>
                <w:szCs w:val="20"/>
              </w:rPr>
              <w:t>Medium</w:t>
            </w:r>
          </w:p>
        </w:tc>
        <w:tc>
          <w:tcPr>
            <w:tcW w:w="0" w:type="auto"/>
            <w:tcBorders>
              <w:top w:val="nil"/>
              <w:left w:val="nil"/>
              <w:bottom w:val="single" w:sz="4" w:space="0" w:color="auto"/>
              <w:right w:val="single" w:sz="4" w:space="0" w:color="auto"/>
            </w:tcBorders>
            <w:shd w:val="clear" w:color="auto" w:fill="auto"/>
            <w:noWrap/>
            <w:vAlign w:val="bottom"/>
            <w:hideMark/>
          </w:tcPr>
          <w:p w14:paraId="742B263D"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hideMark/>
          </w:tcPr>
          <w:p w14:paraId="3666F4C3"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14.3%</w:t>
            </w:r>
          </w:p>
        </w:tc>
        <w:tc>
          <w:tcPr>
            <w:tcW w:w="0" w:type="auto"/>
            <w:tcBorders>
              <w:top w:val="nil"/>
              <w:left w:val="nil"/>
              <w:bottom w:val="single" w:sz="4" w:space="0" w:color="auto"/>
              <w:right w:val="single" w:sz="4" w:space="0" w:color="auto"/>
            </w:tcBorders>
            <w:shd w:val="clear" w:color="auto" w:fill="auto"/>
            <w:noWrap/>
            <w:vAlign w:val="bottom"/>
            <w:hideMark/>
          </w:tcPr>
          <w:p w14:paraId="26C8A765"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13.2%</w:t>
            </w:r>
          </w:p>
        </w:tc>
        <w:tc>
          <w:tcPr>
            <w:tcW w:w="0" w:type="auto"/>
            <w:tcBorders>
              <w:top w:val="nil"/>
              <w:left w:val="nil"/>
              <w:bottom w:val="single" w:sz="4" w:space="0" w:color="auto"/>
              <w:right w:val="single" w:sz="4" w:space="0" w:color="auto"/>
            </w:tcBorders>
            <w:shd w:val="clear" w:color="auto" w:fill="auto"/>
            <w:noWrap/>
            <w:vAlign w:val="bottom"/>
            <w:hideMark/>
          </w:tcPr>
          <w:p w14:paraId="7ACA9D43"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$32,997</w:t>
            </w:r>
          </w:p>
        </w:tc>
      </w:tr>
      <w:tr w:rsidR="001D168B" w:rsidRPr="00964C32" w14:paraId="3C94AA04" w14:textId="77777777" w:rsidTr="001D168B">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6AD3B5" w14:textId="77777777" w:rsidR="001D168B" w:rsidRPr="00964C32" w:rsidRDefault="001D168B" w:rsidP="00E76F41">
            <w:pPr>
              <w:spacing w:before="0"/>
              <w:rPr>
                <w:rFonts w:cs="Arial"/>
                <w:color w:val="000000"/>
                <w:sz w:val="20"/>
                <w:szCs w:val="20"/>
              </w:rPr>
            </w:pPr>
            <w:r w:rsidRPr="00964C32">
              <w:rPr>
                <w:rFonts w:cs="Arial"/>
                <w:color w:val="000000"/>
                <w:sz w:val="20"/>
                <w:szCs w:val="20"/>
              </w:rPr>
              <w:t>Low Income MTP</w:t>
            </w:r>
          </w:p>
        </w:tc>
        <w:tc>
          <w:tcPr>
            <w:tcW w:w="0" w:type="auto"/>
            <w:tcBorders>
              <w:top w:val="nil"/>
              <w:left w:val="nil"/>
              <w:bottom w:val="single" w:sz="4" w:space="0" w:color="auto"/>
              <w:right w:val="single" w:sz="4" w:space="0" w:color="auto"/>
            </w:tcBorders>
            <w:shd w:val="clear" w:color="auto" w:fill="auto"/>
            <w:noWrap/>
            <w:vAlign w:val="bottom"/>
            <w:hideMark/>
          </w:tcPr>
          <w:p w14:paraId="4048B559"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750</w:t>
            </w:r>
          </w:p>
        </w:tc>
        <w:tc>
          <w:tcPr>
            <w:tcW w:w="0" w:type="auto"/>
            <w:tcBorders>
              <w:top w:val="nil"/>
              <w:left w:val="nil"/>
              <w:bottom w:val="single" w:sz="4" w:space="0" w:color="auto"/>
              <w:right w:val="nil"/>
            </w:tcBorders>
          </w:tcPr>
          <w:p w14:paraId="4061F511" w14:textId="77777777" w:rsidR="001D168B" w:rsidRPr="00964C32" w:rsidRDefault="001D168B" w:rsidP="00E76F41">
            <w:pPr>
              <w:spacing w:before="0"/>
              <w:jc w:val="right"/>
              <w:rPr>
                <w:rFonts w:cs="Arial"/>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hideMark/>
          </w:tcPr>
          <w:p w14:paraId="09036FEF"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6.5%</w:t>
            </w:r>
          </w:p>
        </w:tc>
        <w:tc>
          <w:tcPr>
            <w:tcW w:w="0" w:type="auto"/>
            <w:tcBorders>
              <w:top w:val="nil"/>
              <w:left w:val="nil"/>
              <w:bottom w:val="single" w:sz="4" w:space="0" w:color="auto"/>
              <w:right w:val="single" w:sz="4" w:space="0" w:color="auto"/>
            </w:tcBorders>
            <w:shd w:val="clear" w:color="auto" w:fill="auto"/>
            <w:noWrap/>
            <w:vAlign w:val="bottom"/>
            <w:hideMark/>
          </w:tcPr>
          <w:p w14:paraId="63E9E6BC" w14:textId="77777777" w:rsidR="001D168B" w:rsidRPr="00964C32" w:rsidRDefault="001D168B" w:rsidP="00E76F41">
            <w:pPr>
              <w:spacing w:before="0"/>
              <w:rPr>
                <w:rFonts w:cs="Arial"/>
                <w:color w:val="000000"/>
                <w:sz w:val="20"/>
                <w:szCs w:val="20"/>
              </w:rPr>
            </w:pPr>
            <w:r w:rsidRPr="00964C32">
              <w:rPr>
                <w:rFonts w:cs="Arial"/>
                <w:color w:val="000000"/>
                <w:sz w:val="20"/>
                <w:szCs w:val="20"/>
              </w:rPr>
              <w:t>Medium</w:t>
            </w:r>
          </w:p>
        </w:tc>
        <w:tc>
          <w:tcPr>
            <w:tcW w:w="0" w:type="auto"/>
            <w:tcBorders>
              <w:top w:val="nil"/>
              <w:left w:val="nil"/>
              <w:bottom w:val="single" w:sz="4" w:space="0" w:color="auto"/>
              <w:right w:val="single" w:sz="4" w:space="0" w:color="auto"/>
            </w:tcBorders>
            <w:shd w:val="clear" w:color="auto" w:fill="auto"/>
            <w:noWrap/>
            <w:vAlign w:val="bottom"/>
            <w:hideMark/>
          </w:tcPr>
          <w:p w14:paraId="1F459C01"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3</w:t>
            </w:r>
          </w:p>
        </w:tc>
        <w:tc>
          <w:tcPr>
            <w:tcW w:w="0" w:type="auto"/>
            <w:tcBorders>
              <w:top w:val="nil"/>
              <w:left w:val="nil"/>
              <w:bottom w:val="single" w:sz="4" w:space="0" w:color="auto"/>
              <w:right w:val="single" w:sz="4" w:space="0" w:color="auto"/>
            </w:tcBorders>
            <w:shd w:val="clear" w:color="auto" w:fill="auto"/>
            <w:noWrap/>
            <w:vAlign w:val="bottom"/>
            <w:hideMark/>
          </w:tcPr>
          <w:p w14:paraId="4C7EA6CF"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14.3%</w:t>
            </w:r>
          </w:p>
        </w:tc>
        <w:tc>
          <w:tcPr>
            <w:tcW w:w="0" w:type="auto"/>
            <w:tcBorders>
              <w:top w:val="nil"/>
              <w:left w:val="nil"/>
              <w:bottom w:val="single" w:sz="4" w:space="0" w:color="auto"/>
              <w:right w:val="single" w:sz="4" w:space="0" w:color="auto"/>
            </w:tcBorders>
            <w:shd w:val="clear" w:color="auto" w:fill="auto"/>
            <w:noWrap/>
            <w:vAlign w:val="bottom"/>
            <w:hideMark/>
          </w:tcPr>
          <w:p w14:paraId="31D221E0"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10.4%</w:t>
            </w:r>
          </w:p>
        </w:tc>
        <w:tc>
          <w:tcPr>
            <w:tcW w:w="0" w:type="auto"/>
            <w:tcBorders>
              <w:top w:val="nil"/>
              <w:left w:val="nil"/>
              <w:bottom w:val="single" w:sz="4" w:space="0" w:color="auto"/>
              <w:right w:val="single" w:sz="4" w:space="0" w:color="auto"/>
            </w:tcBorders>
            <w:shd w:val="clear" w:color="auto" w:fill="auto"/>
            <w:noWrap/>
            <w:vAlign w:val="bottom"/>
            <w:hideMark/>
          </w:tcPr>
          <w:p w14:paraId="656A5D92" w14:textId="77777777" w:rsidR="001D168B" w:rsidRPr="00964C32" w:rsidRDefault="001D168B" w:rsidP="00E76F41">
            <w:pPr>
              <w:spacing w:before="0"/>
              <w:jc w:val="right"/>
              <w:rPr>
                <w:rFonts w:cs="Arial"/>
                <w:color w:val="000000"/>
                <w:sz w:val="20"/>
                <w:szCs w:val="20"/>
              </w:rPr>
            </w:pPr>
            <w:r w:rsidRPr="00964C32">
              <w:rPr>
                <w:rFonts w:cs="Arial"/>
                <w:color w:val="000000"/>
                <w:sz w:val="20"/>
                <w:szCs w:val="20"/>
              </w:rPr>
              <w:t>$25,968</w:t>
            </w:r>
          </w:p>
        </w:tc>
      </w:tr>
      <w:tr w:rsidR="001D168B" w:rsidRPr="00964C32" w14:paraId="446BED3F" w14:textId="77777777" w:rsidTr="001D168B">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E4B3E96" w14:textId="77777777" w:rsidR="001D168B" w:rsidRPr="00964C32" w:rsidRDefault="001D168B" w:rsidP="00E76F41">
            <w:pPr>
              <w:spacing w:before="0"/>
              <w:rPr>
                <w:rFonts w:cs="Arial"/>
                <w:b/>
                <w:bCs/>
                <w:color w:val="000000"/>
                <w:sz w:val="20"/>
                <w:szCs w:val="20"/>
              </w:rPr>
            </w:pPr>
            <w:r w:rsidRPr="00964C32">
              <w:rPr>
                <w:rFonts w:cs="Arial"/>
                <w:b/>
                <w:bCs/>
                <w:color w:val="000000"/>
                <w:sz w:val="20"/>
                <w:szCs w:val="20"/>
              </w:rPr>
              <w:t>Total</w:t>
            </w:r>
          </w:p>
        </w:tc>
        <w:tc>
          <w:tcPr>
            <w:tcW w:w="0" w:type="auto"/>
            <w:tcBorders>
              <w:top w:val="nil"/>
              <w:left w:val="nil"/>
              <w:bottom w:val="single" w:sz="4" w:space="0" w:color="auto"/>
              <w:right w:val="single" w:sz="4" w:space="0" w:color="auto"/>
            </w:tcBorders>
            <w:shd w:val="clear" w:color="auto" w:fill="auto"/>
            <w:noWrap/>
            <w:vAlign w:val="bottom"/>
            <w:hideMark/>
          </w:tcPr>
          <w:p w14:paraId="17ACBFE2" w14:textId="77777777" w:rsidR="001D168B" w:rsidRPr="00964C32" w:rsidRDefault="001D168B" w:rsidP="00E76F41">
            <w:pPr>
              <w:spacing w:before="0"/>
              <w:jc w:val="right"/>
              <w:rPr>
                <w:rFonts w:cs="Arial"/>
                <w:b/>
                <w:bCs/>
                <w:color w:val="000000"/>
                <w:sz w:val="20"/>
                <w:szCs w:val="20"/>
              </w:rPr>
            </w:pPr>
            <w:r w:rsidRPr="00964C32">
              <w:rPr>
                <w:rFonts w:cs="Arial"/>
                <w:b/>
                <w:bCs/>
                <w:color w:val="000000"/>
                <w:sz w:val="20"/>
                <w:szCs w:val="20"/>
              </w:rPr>
              <w:t>11,559</w:t>
            </w:r>
          </w:p>
        </w:tc>
        <w:tc>
          <w:tcPr>
            <w:tcW w:w="0" w:type="auto"/>
            <w:tcBorders>
              <w:top w:val="nil"/>
              <w:left w:val="nil"/>
              <w:bottom w:val="single" w:sz="4" w:space="0" w:color="auto"/>
              <w:right w:val="nil"/>
            </w:tcBorders>
          </w:tcPr>
          <w:p w14:paraId="594A0E34" w14:textId="77777777" w:rsidR="001D168B" w:rsidRPr="00964C32" w:rsidRDefault="001D168B" w:rsidP="00E76F41">
            <w:pPr>
              <w:spacing w:before="0"/>
              <w:jc w:val="right"/>
              <w:rPr>
                <w:rFonts w:cs="Arial"/>
                <w:b/>
                <w:bCs/>
                <w:color w:val="000000"/>
                <w:sz w:val="20"/>
                <w:szCs w:val="20"/>
              </w:rPr>
            </w:pPr>
          </w:p>
        </w:tc>
        <w:tc>
          <w:tcPr>
            <w:tcW w:w="0" w:type="auto"/>
            <w:tcBorders>
              <w:top w:val="nil"/>
              <w:left w:val="nil"/>
              <w:bottom w:val="single" w:sz="4" w:space="0" w:color="auto"/>
              <w:right w:val="single" w:sz="4" w:space="0" w:color="auto"/>
            </w:tcBorders>
            <w:shd w:val="clear" w:color="auto" w:fill="auto"/>
            <w:noWrap/>
            <w:vAlign w:val="bottom"/>
            <w:hideMark/>
          </w:tcPr>
          <w:p w14:paraId="090FB736" w14:textId="77777777" w:rsidR="001D168B" w:rsidRPr="00964C32" w:rsidRDefault="001D168B" w:rsidP="00E76F41">
            <w:pPr>
              <w:spacing w:before="0"/>
              <w:jc w:val="right"/>
              <w:rPr>
                <w:rFonts w:cs="Arial"/>
                <w:b/>
                <w:bCs/>
                <w:color w:val="000000"/>
                <w:sz w:val="20"/>
                <w:szCs w:val="20"/>
              </w:rPr>
            </w:pPr>
            <w:r w:rsidRPr="00964C32">
              <w:rPr>
                <w:rFonts w:cs="Arial"/>
                <w:b/>
                <w:bCs/>
                <w:color w:val="000000"/>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14:paraId="3AF44FAF" w14:textId="77777777" w:rsidR="001D168B" w:rsidRPr="00964C32" w:rsidRDefault="001D168B" w:rsidP="00E76F41">
            <w:pPr>
              <w:spacing w:before="0"/>
              <w:rPr>
                <w:rFonts w:cs="Arial"/>
                <w:b/>
                <w:bCs/>
                <w:color w:val="000000"/>
                <w:sz w:val="20"/>
                <w:szCs w:val="20"/>
              </w:rPr>
            </w:pPr>
            <w:r w:rsidRPr="00964C32">
              <w:rPr>
                <w:rFonts w:cs="Arial"/>
                <w:b/>
                <w:bCs/>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49A1C7D6" w14:textId="77777777" w:rsidR="001D168B" w:rsidRPr="00964C32" w:rsidRDefault="001D168B" w:rsidP="00E76F41">
            <w:pPr>
              <w:spacing w:before="0"/>
              <w:jc w:val="right"/>
              <w:rPr>
                <w:rFonts w:cs="Arial"/>
                <w:b/>
                <w:bCs/>
                <w:color w:val="000000"/>
                <w:sz w:val="20"/>
                <w:szCs w:val="20"/>
              </w:rPr>
            </w:pPr>
            <w:r w:rsidRPr="00964C32">
              <w:rPr>
                <w:rFonts w:cs="Arial"/>
                <w:b/>
                <w:bCs/>
                <w:color w:val="000000"/>
                <w:sz w:val="20"/>
                <w:szCs w:val="20"/>
              </w:rPr>
              <w:t>21</w:t>
            </w:r>
          </w:p>
        </w:tc>
        <w:tc>
          <w:tcPr>
            <w:tcW w:w="0" w:type="auto"/>
            <w:tcBorders>
              <w:top w:val="nil"/>
              <w:left w:val="nil"/>
              <w:bottom w:val="single" w:sz="4" w:space="0" w:color="auto"/>
              <w:right w:val="single" w:sz="4" w:space="0" w:color="auto"/>
            </w:tcBorders>
            <w:shd w:val="clear" w:color="auto" w:fill="auto"/>
            <w:noWrap/>
            <w:vAlign w:val="bottom"/>
            <w:hideMark/>
          </w:tcPr>
          <w:p w14:paraId="5E7C3FB9" w14:textId="77777777" w:rsidR="001D168B" w:rsidRPr="00964C32" w:rsidRDefault="001D168B" w:rsidP="00E76F41">
            <w:pPr>
              <w:spacing w:before="0"/>
              <w:jc w:val="right"/>
              <w:rPr>
                <w:rFonts w:cs="Arial"/>
                <w:b/>
                <w:bCs/>
                <w:color w:val="000000"/>
                <w:sz w:val="20"/>
                <w:szCs w:val="20"/>
              </w:rPr>
            </w:pPr>
            <w:r w:rsidRPr="00964C32">
              <w:rPr>
                <w:rFonts w:cs="Arial"/>
                <w:b/>
                <w:bCs/>
                <w:color w:val="000000"/>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14:paraId="5FA57405" w14:textId="77777777" w:rsidR="001D168B" w:rsidRPr="00964C32" w:rsidRDefault="001D168B" w:rsidP="00E76F41">
            <w:pPr>
              <w:spacing w:before="0"/>
              <w:jc w:val="right"/>
              <w:rPr>
                <w:rFonts w:cs="Arial"/>
                <w:b/>
                <w:bCs/>
                <w:color w:val="000000"/>
                <w:sz w:val="20"/>
                <w:szCs w:val="20"/>
              </w:rPr>
            </w:pPr>
            <w:r w:rsidRPr="00964C32">
              <w:rPr>
                <w:rFonts w:cs="Arial"/>
                <w:b/>
                <w:bCs/>
                <w:color w:val="000000"/>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14:paraId="6960DF85" w14:textId="77777777" w:rsidR="001D168B" w:rsidRPr="00964C32" w:rsidRDefault="001D168B" w:rsidP="00E76F41">
            <w:pPr>
              <w:spacing w:before="0"/>
              <w:jc w:val="right"/>
              <w:rPr>
                <w:rFonts w:cs="Arial"/>
                <w:b/>
                <w:bCs/>
                <w:color w:val="000000"/>
                <w:sz w:val="20"/>
                <w:szCs w:val="20"/>
              </w:rPr>
            </w:pPr>
            <w:r w:rsidRPr="00964C32">
              <w:rPr>
                <w:rFonts w:cs="Arial"/>
                <w:b/>
                <w:bCs/>
                <w:color w:val="000000"/>
                <w:sz w:val="20"/>
                <w:szCs w:val="20"/>
              </w:rPr>
              <w:t>$250,000</w:t>
            </w:r>
          </w:p>
        </w:tc>
      </w:tr>
    </w:tbl>
    <w:p w14:paraId="7B79745B" w14:textId="77777777" w:rsidR="00FC605F" w:rsidRPr="00FC605F" w:rsidRDefault="00FC605F" w:rsidP="00FC605F"/>
    <w:sectPr w:rsidR="00FC605F" w:rsidRPr="00FC605F" w:rsidSect="00D41371">
      <w:footerReference w:type="default" r:id="rId11"/>
      <w:headerReference w:type="first" r:id="rId12"/>
      <w:footerReference w:type="first" r:id="rId13"/>
      <w:type w:val="continuous"/>
      <w:pgSz w:w="12240" w:h="15840" w:code="1"/>
      <w:pgMar w:top="1440" w:right="1080" w:bottom="108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7D147" w14:textId="77777777" w:rsidR="00F37A3C" w:rsidRDefault="00F37A3C">
      <w:r>
        <w:separator/>
      </w:r>
    </w:p>
  </w:endnote>
  <w:endnote w:type="continuationSeparator" w:id="0">
    <w:p w14:paraId="08A6C751" w14:textId="77777777" w:rsidR="00F37A3C" w:rsidRDefault="00F3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GillSans">
    <w:altName w:val="Calibri"/>
    <w:panose1 w:val="00000000000000000000"/>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9FFA5" w14:textId="77777777" w:rsidR="00BE7CD1" w:rsidRPr="0013094A" w:rsidRDefault="001873BA" w:rsidP="00AB4E13">
    <w:pPr>
      <w:pStyle w:val="Footer"/>
      <w:rPr>
        <w:rFonts w:ascii="Arial" w:hAnsi="Arial" w:cs="Arial"/>
      </w:rPr>
    </w:pPr>
    <w:r>
      <w:rPr>
        <w:rFonts w:ascii="Arial" w:hAnsi="Arial" w:cs="Arial"/>
        <w:noProof/>
      </w:rPr>
      <mc:AlternateContent>
        <mc:Choice Requires="wps">
          <w:drawing>
            <wp:anchor distT="0" distB="0" distL="114300" distR="114300" simplePos="0" relativeHeight="251651072" behindDoc="0" locked="0" layoutInCell="1" allowOverlap="1" wp14:anchorId="4049A197" wp14:editId="27FDB838">
              <wp:simplePos x="0" y="0"/>
              <wp:positionH relativeFrom="column">
                <wp:posOffset>1473200</wp:posOffset>
              </wp:positionH>
              <wp:positionV relativeFrom="paragraph">
                <wp:posOffset>-149860</wp:posOffset>
              </wp:positionV>
              <wp:extent cx="2971800" cy="36639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3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1D7E7" w14:textId="77777777" w:rsidR="00BE7CD1" w:rsidRPr="0013094A" w:rsidRDefault="00BE7CD1" w:rsidP="009912D7">
                          <w:pPr>
                            <w:jc w:val="center"/>
                            <w:rPr>
                              <w:rFonts w:cs="Arial"/>
                              <w:color w:val="005596"/>
                            </w:rPr>
                          </w:pPr>
                          <w:r w:rsidRPr="0013094A">
                            <w:rPr>
                              <w:rFonts w:cs="Arial"/>
                              <w:color w:val="005596"/>
                            </w:rPr>
                            <w:t>TETRA TECH</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049A197" id="_x0000_t202" coordsize="21600,21600" o:spt="202" path="m,l,21600r21600,l21600,xe">
              <v:stroke joinstyle="miter"/>
              <v:path gradientshapeok="t" o:connecttype="rect"/>
            </v:shapetype>
            <v:shape id="Text Box 1" o:spid="_x0000_s1026" type="#_x0000_t202" style="position:absolute;left:0;text-align:left;margin-left:116pt;margin-top:-11.8pt;width:234pt;height:28.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" filled="f" stroked="f">
              <v:textbox style="mso-fit-shape-to-text:t">
                <w:txbxContent>
                  <w:p w14:paraId="22A1D7E7" w14:textId="77777777" w:rsidR="00BE7CD1" w:rsidRPr="0013094A" w:rsidRDefault="00BE7CD1" w:rsidP="009912D7">
                    <w:pPr>
                      <w:jc w:val="center"/>
                      <w:rPr>
                        <w:rFonts w:cs="Arial"/>
                        <w:color w:val="005596"/>
                      </w:rPr>
                    </w:pPr>
                    <w:r w:rsidRPr="0013094A">
                      <w:rPr>
                        <w:rFonts w:cs="Arial"/>
                        <w:color w:val="005596"/>
                      </w:rPr>
                      <w:t>TETRA TECH</w:t>
                    </w:r>
                  </w:p>
                </w:txbxContent>
              </v:textbox>
            </v:shape>
          </w:pict>
        </mc:Fallback>
      </mc:AlternateContent>
    </w:r>
    <w:r w:rsidR="00BE7CD1" w:rsidRPr="0013094A">
      <w:rPr>
        <w:rStyle w:val="PageNumber"/>
        <w:rFonts w:ascii="Arial" w:hAnsi="Arial" w:cs="Arial"/>
        <w:sz w:val="20"/>
        <w:szCs w:val="20"/>
      </w:rPr>
      <w:t xml:space="preserve">Page </w:t>
    </w:r>
    <w:r w:rsidR="00FA5BC5" w:rsidRPr="0013094A">
      <w:rPr>
        <w:rStyle w:val="PageNumber"/>
        <w:rFonts w:ascii="Arial" w:hAnsi="Arial" w:cs="Arial"/>
        <w:sz w:val="20"/>
        <w:szCs w:val="20"/>
      </w:rPr>
      <w:fldChar w:fldCharType="begin"/>
    </w:r>
    <w:r w:rsidR="00BE7CD1" w:rsidRPr="0013094A">
      <w:rPr>
        <w:rStyle w:val="PageNumber"/>
        <w:rFonts w:ascii="Arial" w:hAnsi="Arial" w:cs="Arial"/>
        <w:sz w:val="20"/>
        <w:szCs w:val="20"/>
      </w:rPr>
      <w:instrText xml:space="preserve"> PAGE </w:instrText>
    </w:r>
    <w:r w:rsidR="00FA5BC5" w:rsidRPr="0013094A">
      <w:rPr>
        <w:rStyle w:val="PageNumber"/>
        <w:rFonts w:ascii="Arial" w:hAnsi="Arial" w:cs="Arial"/>
        <w:sz w:val="20"/>
        <w:szCs w:val="20"/>
      </w:rPr>
      <w:fldChar w:fldCharType="separate"/>
    </w:r>
    <w:r w:rsidR="00B5571D">
      <w:rPr>
        <w:rStyle w:val="PageNumber"/>
        <w:rFonts w:ascii="Arial" w:hAnsi="Arial" w:cs="Arial"/>
        <w:noProof/>
        <w:sz w:val="20"/>
        <w:szCs w:val="20"/>
      </w:rPr>
      <w:t>2</w:t>
    </w:r>
    <w:r w:rsidR="00FA5BC5" w:rsidRPr="0013094A">
      <w:rPr>
        <w:rStyle w:val="PageNumbe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9C6A" w14:textId="77777777" w:rsidR="00BE7CD1" w:rsidRPr="00E3590C" w:rsidRDefault="00BE7CD1" w:rsidP="0092278C">
    <w:pPr>
      <w:pStyle w:val="Footer"/>
      <w:ind w:right="317"/>
      <w:jc w:val="left"/>
      <w:rPr>
        <w:rStyle w:val="PageNumbe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CB14A" w14:textId="77777777" w:rsidR="00F37A3C" w:rsidRDefault="00F37A3C">
      <w:r>
        <w:separator/>
      </w:r>
    </w:p>
  </w:footnote>
  <w:footnote w:type="continuationSeparator" w:id="0">
    <w:p w14:paraId="6336CCB5" w14:textId="77777777" w:rsidR="00F37A3C" w:rsidRDefault="00F37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6F66E" w14:textId="1A84DE02" w:rsidR="00BE7CD1" w:rsidRPr="00706854" w:rsidRDefault="009D61C0" w:rsidP="00E31FA4">
    <w:pPr>
      <w:pStyle w:val="Header"/>
    </w:pPr>
    <w:r>
      <w:rPr>
        <w:noProof/>
      </w:rPr>
      <w:drawing>
        <wp:anchor distT="0" distB="0" distL="114300" distR="114300" simplePos="0" relativeHeight="251660288" behindDoc="0" locked="0" layoutInCell="1" allowOverlap="1" wp14:anchorId="7645B9FB" wp14:editId="0684E8F9">
          <wp:simplePos x="0" y="0"/>
          <wp:positionH relativeFrom="column">
            <wp:posOffset>-120650</wp:posOffset>
          </wp:positionH>
          <wp:positionV relativeFrom="paragraph">
            <wp:posOffset>-114300</wp:posOffset>
          </wp:positionV>
          <wp:extent cx="1302692" cy="483027"/>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2692" cy="48302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BE83E6"/>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10BC4B48"/>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8A7091DC"/>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4F2A67B8"/>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F92806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0B8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36A1BC8"/>
    <w:lvl w:ilvl="0">
      <w:start w:val="1"/>
      <w:numFmt w:val="bullet"/>
      <w:pStyle w:val="ListBullet3"/>
      <w:lvlText w:val="•"/>
      <w:lvlJc w:val="left"/>
      <w:pPr>
        <w:ind w:left="1080" w:hanging="360"/>
      </w:pPr>
      <w:rPr>
        <w:rFonts w:ascii="Calibri" w:hAnsi="Calibri" w:hint="default"/>
      </w:rPr>
    </w:lvl>
  </w:abstractNum>
  <w:abstractNum w:abstractNumId="7" w15:restartNumberingAfterBreak="0">
    <w:nsid w:val="FFFFFF83"/>
    <w:multiLevelType w:val="singleLevel"/>
    <w:tmpl w:val="33D0080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4E61A6E"/>
    <w:lvl w:ilvl="0">
      <w:start w:val="1"/>
      <w:numFmt w:val="decimal"/>
      <w:pStyle w:val="ListNumber1"/>
      <w:lvlText w:val="%1."/>
      <w:lvlJc w:val="left"/>
      <w:pPr>
        <w:tabs>
          <w:tab w:val="num" w:pos="360"/>
        </w:tabs>
        <w:ind w:left="360" w:hanging="360"/>
      </w:pPr>
      <w:rPr>
        <w:rFonts w:cs="Times New Roman"/>
      </w:rPr>
    </w:lvl>
  </w:abstractNum>
  <w:abstractNum w:abstractNumId="9" w15:restartNumberingAfterBreak="0">
    <w:nsid w:val="FFFFFF89"/>
    <w:multiLevelType w:val="singleLevel"/>
    <w:tmpl w:val="3D4AD2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D85869"/>
    <w:multiLevelType w:val="hybridMultilevel"/>
    <w:tmpl w:val="F99A1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5E09E6"/>
    <w:multiLevelType w:val="hybridMultilevel"/>
    <w:tmpl w:val="C76E5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106D5"/>
    <w:multiLevelType w:val="hybridMultilevel"/>
    <w:tmpl w:val="A07081F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320F2604"/>
    <w:multiLevelType w:val="hybridMultilevel"/>
    <w:tmpl w:val="370E62E6"/>
    <w:lvl w:ilvl="0" w:tplc="26A4C188">
      <w:start w:val="1"/>
      <w:numFmt w:val="lowerLetter"/>
      <w:pStyle w:val="ListNumber21"/>
      <w:lvlText w:val="%1."/>
      <w:lvlJc w:val="left"/>
      <w:pPr>
        <w:ind w:left="1570" w:hanging="360"/>
      </w:pPr>
      <w:rPr>
        <w:rFonts w:ascii="Arial" w:hAnsi="Arial" w:cs="Arial" w:hint="default"/>
      </w:rPr>
    </w:lvl>
    <w:lvl w:ilvl="1" w:tplc="05563806" w:tentative="1">
      <w:start w:val="1"/>
      <w:numFmt w:val="lowerLetter"/>
      <w:lvlText w:val="%2."/>
      <w:lvlJc w:val="left"/>
      <w:pPr>
        <w:ind w:left="2290" w:hanging="360"/>
      </w:pPr>
    </w:lvl>
    <w:lvl w:ilvl="2" w:tplc="D1B46E2E" w:tentative="1">
      <w:start w:val="1"/>
      <w:numFmt w:val="lowerRoman"/>
      <w:lvlText w:val="%3."/>
      <w:lvlJc w:val="right"/>
      <w:pPr>
        <w:ind w:left="3010" w:hanging="180"/>
      </w:pPr>
    </w:lvl>
    <w:lvl w:ilvl="3" w:tplc="43AEEA12" w:tentative="1">
      <w:start w:val="1"/>
      <w:numFmt w:val="decimal"/>
      <w:lvlText w:val="%4."/>
      <w:lvlJc w:val="left"/>
      <w:pPr>
        <w:ind w:left="3730" w:hanging="360"/>
      </w:pPr>
    </w:lvl>
    <w:lvl w:ilvl="4" w:tplc="40CC45CE" w:tentative="1">
      <w:start w:val="1"/>
      <w:numFmt w:val="lowerLetter"/>
      <w:lvlText w:val="%5."/>
      <w:lvlJc w:val="left"/>
      <w:pPr>
        <w:ind w:left="4450" w:hanging="360"/>
      </w:pPr>
    </w:lvl>
    <w:lvl w:ilvl="5" w:tplc="654C6C80" w:tentative="1">
      <w:start w:val="1"/>
      <w:numFmt w:val="lowerRoman"/>
      <w:lvlText w:val="%6."/>
      <w:lvlJc w:val="right"/>
      <w:pPr>
        <w:ind w:left="5170" w:hanging="180"/>
      </w:pPr>
    </w:lvl>
    <w:lvl w:ilvl="6" w:tplc="D2E65B82" w:tentative="1">
      <w:start w:val="1"/>
      <w:numFmt w:val="decimal"/>
      <w:lvlText w:val="%7."/>
      <w:lvlJc w:val="left"/>
      <w:pPr>
        <w:ind w:left="5890" w:hanging="360"/>
      </w:pPr>
    </w:lvl>
    <w:lvl w:ilvl="7" w:tplc="FC7262B2" w:tentative="1">
      <w:start w:val="1"/>
      <w:numFmt w:val="lowerLetter"/>
      <w:lvlText w:val="%8."/>
      <w:lvlJc w:val="left"/>
      <w:pPr>
        <w:ind w:left="6610" w:hanging="360"/>
      </w:pPr>
    </w:lvl>
    <w:lvl w:ilvl="8" w:tplc="CF12876E" w:tentative="1">
      <w:start w:val="1"/>
      <w:numFmt w:val="lowerRoman"/>
      <w:lvlText w:val="%9."/>
      <w:lvlJc w:val="right"/>
      <w:pPr>
        <w:ind w:left="7330" w:hanging="180"/>
      </w:pPr>
    </w:lvl>
  </w:abstractNum>
  <w:abstractNum w:abstractNumId="14" w15:restartNumberingAfterBreak="0">
    <w:nsid w:val="3261645D"/>
    <w:multiLevelType w:val="hybridMultilevel"/>
    <w:tmpl w:val="20AE2F34"/>
    <w:lvl w:ilvl="0" w:tplc="3D1E0BD6">
      <w:start w:val="1"/>
      <w:numFmt w:val="bullet"/>
      <w:lvlText w:val=""/>
      <w:lvlJc w:val="left"/>
      <w:pPr>
        <w:ind w:left="837" w:hanging="360"/>
      </w:pPr>
      <w:rPr>
        <w:rFonts w:ascii="Symbol" w:hAnsi="Symbol" w:hint="default"/>
      </w:rPr>
    </w:lvl>
    <w:lvl w:ilvl="1" w:tplc="87C408DA" w:tentative="1">
      <w:start w:val="1"/>
      <w:numFmt w:val="bullet"/>
      <w:lvlText w:val="o"/>
      <w:lvlJc w:val="left"/>
      <w:pPr>
        <w:ind w:left="1557" w:hanging="360"/>
      </w:pPr>
      <w:rPr>
        <w:rFonts w:ascii="Courier New" w:hAnsi="Courier New" w:cs="Courier New" w:hint="default"/>
      </w:rPr>
    </w:lvl>
    <w:lvl w:ilvl="2" w:tplc="153C2266" w:tentative="1">
      <w:start w:val="1"/>
      <w:numFmt w:val="bullet"/>
      <w:lvlText w:val=""/>
      <w:lvlJc w:val="left"/>
      <w:pPr>
        <w:ind w:left="2277" w:hanging="360"/>
      </w:pPr>
      <w:rPr>
        <w:rFonts w:ascii="Wingdings" w:hAnsi="Wingdings" w:hint="default"/>
      </w:rPr>
    </w:lvl>
    <w:lvl w:ilvl="3" w:tplc="0E787AB6" w:tentative="1">
      <w:start w:val="1"/>
      <w:numFmt w:val="bullet"/>
      <w:lvlText w:val=""/>
      <w:lvlJc w:val="left"/>
      <w:pPr>
        <w:ind w:left="2997" w:hanging="360"/>
      </w:pPr>
      <w:rPr>
        <w:rFonts w:ascii="Symbol" w:hAnsi="Symbol" w:hint="default"/>
      </w:rPr>
    </w:lvl>
    <w:lvl w:ilvl="4" w:tplc="F65850E6" w:tentative="1">
      <w:start w:val="1"/>
      <w:numFmt w:val="bullet"/>
      <w:lvlText w:val="o"/>
      <w:lvlJc w:val="left"/>
      <w:pPr>
        <w:ind w:left="3717" w:hanging="360"/>
      </w:pPr>
      <w:rPr>
        <w:rFonts w:ascii="Courier New" w:hAnsi="Courier New" w:cs="Courier New" w:hint="default"/>
      </w:rPr>
    </w:lvl>
    <w:lvl w:ilvl="5" w:tplc="F5E0232A" w:tentative="1">
      <w:start w:val="1"/>
      <w:numFmt w:val="bullet"/>
      <w:lvlText w:val=""/>
      <w:lvlJc w:val="left"/>
      <w:pPr>
        <w:ind w:left="4437" w:hanging="360"/>
      </w:pPr>
      <w:rPr>
        <w:rFonts w:ascii="Wingdings" w:hAnsi="Wingdings" w:hint="default"/>
      </w:rPr>
    </w:lvl>
    <w:lvl w:ilvl="6" w:tplc="7688C128" w:tentative="1">
      <w:start w:val="1"/>
      <w:numFmt w:val="bullet"/>
      <w:lvlText w:val=""/>
      <w:lvlJc w:val="left"/>
      <w:pPr>
        <w:ind w:left="5157" w:hanging="360"/>
      </w:pPr>
      <w:rPr>
        <w:rFonts w:ascii="Symbol" w:hAnsi="Symbol" w:hint="default"/>
      </w:rPr>
    </w:lvl>
    <w:lvl w:ilvl="7" w:tplc="C02009CE" w:tentative="1">
      <w:start w:val="1"/>
      <w:numFmt w:val="bullet"/>
      <w:lvlText w:val="o"/>
      <w:lvlJc w:val="left"/>
      <w:pPr>
        <w:ind w:left="5877" w:hanging="360"/>
      </w:pPr>
      <w:rPr>
        <w:rFonts w:ascii="Courier New" w:hAnsi="Courier New" w:cs="Courier New" w:hint="default"/>
      </w:rPr>
    </w:lvl>
    <w:lvl w:ilvl="8" w:tplc="A5DA31FC" w:tentative="1">
      <w:start w:val="1"/>
      <w:numFmt w:val="bullet"/>
      <w:lvlText w:val=""/>
      <w:lvlJc w:val="left"/>
      <w:pPr>
        <w:ind w:left="6597" w:hanging="360"/>
      </w:pPr>
      <w:rPr>
        <w:rFonts w:ascii="Wingdings" w:hAnsi="Wingdings" w:hint="default"/>
      </w:rPr>
    </w:lvl>
  </w:abstractNum>
  <w:abstractNum w:abstractNumId="15" w15:restartNumberingAfterBreak="0">
    <w:nsid w:val="3C170E7F"/>
    <w:multiLevelType w:val="hybridMultilevel"/>
    <w:tmpl w:val="A1EA2726"/>
    <w:lvl w:ilvl="0" w:tplc="68D40A0A">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7136F6B"/>
    <w:multiLevelType w:val="hybridMultilevel"/>
    <w:tmpl w:val="6100B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9449ED"/>
    <w:multiLevelType w:val="hybridMultilevel"/>
    <w:tmpl w:val="D8A25E54"/>
    <w:lvl w:ilvl="0" w:tplc="04090001">
      <w:start w:val="1"/>
      <w:numFmt w:val="bullet"/>
      <w:pStyle w:val="ListBullet2"/>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8" w15:restartNumberingAfterBreak="0">
    <w:nsid w:val="59F13265"/>
    <w:multiLevelType w:val="hybridMultilevel"/>
    <w:tmpl w:val="64C6756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1F4ADA"/>
    <w:multiLevelType w:val="hybridMultilevel"/>
    <w:tmpl w:val="56764578"/>
    <w:lvl w:ilvl="0" w:tplc="4BEE3CA6">
      <w:start w:val="1"/>
      <w:numFmt w:val="bullet"/>
      <w:lvlText w:val=""/>
      <w:lvlJc w:val="left"/>
      <w:pPr>
        <w:ind w:left="720" w:hanging="360"/>
      </w:pPr>
      <w:rPr>
        <w:rFonts w:ascii="Symbol" w:hAnsi="Symbol" w:hint="default"/>
      </w:rPr>
    </w:lvl>
    <w:lvl w:ilvl="1" w:tplc="04090003">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3624E"/>
    <w:multiLevelType w:val="hybridMultilevel"/>
    <w:tmpl w:val="09848FD6"/>
    <w:lvl w:ilvl="0" w:tplc="913E6B4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87883763">
    <w:abstractNumId w:val="9"/>
  </w:num>
  <w:num w:numId="2" w16cid:durableId="597493601">
    <w:abstractNumId w:val="7"/>
  </w:num>
  <w:num w:numId="3" w16cid:durableId="1163010412">
    <w:abstractNumId w:val="6"/>
  </w:num>
  <w:num w:numId="4" w16cid:durableId="1574121445">
    <w:abstractNumId w:val="5"/>
  </w:num>
  <w:num w:numId="5" w16cid:durableId="401488049">
    <w:abstractNumId w:val="4"/>
  </w:num>
  <w:num w:numId="6" w16cid:durableId="1108235391">
    <w:abstractNumId w:val="8"/>
  </w:num>
  <w:num w:numId="7" w16cid:durableId="742022104">
    <w:abstractNumId w:val="3"/>
  </w:num>
  <w:num w:numId="8" w16cid:durableId="2101826167">
    <w:abstractNumId w:val="2"/>
  </w:num>
  <w:num w:numId="9" w16cid:durableId="416637465">
    <w:abstractNumId w:val="1"/>
  </w:num>
  <w:num w:numId="10" w16cid:durableId="281108070">
    <w:abstractNumId w:val="0"/>
  </w:num>
  <w:num w:numId="11" w16cid:durableId="1282880650">
    <w:abstractNumId w:val="10"/>
  </w:num>
  <w:num w:numId="12" w16cid:durableId="1950239075">
    <w:abstractNumId w:val="20"/>
  </w:num>
  <w:num w:numId="13" w16cid:durableId="999432895">
    <w:abstractNumId w:val="18"/>
  </w:num>
  <w:num w:numId="14" w16cid:durableId="1709791767">
    <w:abstractNumId w:val="17"/>
  </w:num>
  <w:num w:numId="15" w16cid:durableId="1487942407">
    <w:abstractNumId w:val="13"/>
  </w:num>
  <w:num w:numId="16" w16cid:durableId="555165340">
    <w:abstractNumId w:val="16"/>
  </w:num>
  <w:num w:numId="17" w16cid:durableId="682822930">
    <w:abstractNumId w:val="12"/>
  </w:num>
  <w:num w:numId="18" w16cid:durableId="536358717">
    <w:abstractNumId w:val="14"/>
  </w:num>
  <w:num w:numId="19" w16cid:durableId="568421102">
    <w:abstractNumId w:val="11"/>
  </w:num>
  <w:num w:numId="20" w16cid:durableId="1572424130">
    <w:abstractNumId w:val="19"/>
  </w:num>
  <w:num w:numId="21" w16cid:durableId="405422305">
    <w:abstractNumId w:val="15"/>
  </w:num>
  <w:num w:numId="22" w16cid:durableId="21189323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6E7"/>
    <w:rsid w:val="00003C45"/>
    <w:rsid w:val="00012FFB"/>
    <w:rsid w:val="0002195B"/>
    <w:rsid w:val="00030E37"/>
    <w:rsid w:val="0003400F"/>
    <w:rsid w:val="0003524A"/>
    <w:rsid w:val="00035A06"/>
    <w:rsid w:val="00036705"/>
    <w:rsid w:val="000436DA"/>
    <w:rsid w:val="0005132E"/>
    <w:rsid w:val="00060510"/>
    <w:rsid w:val="000648DA"/>
    <w:rsid w:val="00065AB3"/>
    <w:rsid w:val="00070820"/>
    <w:rsid w:val="00081CE8"/>
    <w:rsid w:val="00091767"/>
    <w:rsid w:val="00094695"/>
    <w:rsid w:val="000A10B4"/>
    <w:rsid w:val="000A625F"/>
    <w:rsid w:val="000C3044"/>
    <w:rsid w:val="000E3B47"/>
    <w:rsid w:val="000F144A"/>
    <w:rsid w:val="00101BE6"/>
    <w:rsid w:val="00113082"/>
    <w:rsid w:val="00123E90"/>
    <w:rsid w:val="0013094A"/>
    <w:rsid w:val="00133DFC"/>
    <w:rsid w:val="00141BEF"/>
    <w:rsid w:val="0014649A"/>
    <w:rsid w:val="00161BF7"/>
    <w:rsid w:val="001632A9"/>
    <w:rsid w:val="00166A41"/>
    <w:rsid w:val="00166A89"/>
    <w:rsid w:val="00170714"/>
    <w:rsid w:val="00176746"/>
    <w:rsid w:val="00176870"/>
    <w:rsid w:val="00180704"/>
    <w:rsid w:val="00181324"/>
    <w:rsid w:val="001873BA"/>
    <w:rsid w:val="001A0230"/>
    <w:rsid w:val="001A62BD"/>
    <w:rsid w:val="001B5005"/>
    <w:rsid w:val="001C1874"/>
    <w:rsid w:val="001C77FB"/>
    <w:rsid w:val="001D168B"/>
    <w:rsid w:val="001D3206"/>
    <w:rsid w:val="001D53F8"/>
    <w:rsid w:val="001E2931"/>
    <w:rsid w:val="001E3677"/>
    <w:rsid w:val="001E6798"/>
    <w:rsid w:val="001F2A1E"/>
    <w:rsid w:val="001F3DBF"/>
    <w:rsid w:val="00201044"/>
    <w:rsid w:val="00203CB5"/>
    <w:rsid w:val="00210FC8"/>
    <w:rsid w:val="00213C3F"/>
    <w:rsid w:val="002208CC"/>
    <w:rsid w:val="00227BF2"/>
    <w:rsid w:val="00244013"/>
    <w:rsid w:val="0024404A"/>
    <w:rsid w:val="00246313"/>
    <w:rsid w:val="00252ACF"/>
    <w:rsid w:val="00252EE8"/>
    <w:rsid w:val="002547C0"/>
    <w:rsid w:val="002562AB"/>
    <w:rsid w:val="00257FDF"/>
    <w:rsid w:val="00262223"/>
    <w:rsid w:val="00272FE3"/>
    <w:rsid w:val="00290FF5"/>
    <w:rsid w:val="002975AE"/>
    <w:rsid w:val="002B6AAC"/>
    <w:rsid w:val="002B7341"/>
    <w:rsid w:val="002D6299"/>
    <w:rsid w:val="002D6696"/>
    <w:rsid w:val="002E132B"/>
    <w:rsid w:val="002E45A9"/>
    <w:rsid w:val="002F12CA"/>
    <w:rsid w:val="002F2842"/>
    <w:rsid w:val="002F2D73"/>
    <w:rsid w:val="00302F60"/>
    <w:rsid w:val="003154BA"/>
    <w:rsid w:val="00320D1E"/>
    <w:rsid w:val="00323201"/>
    <w:rsid w:val="00324DF9"/>
    <w:rsid w:val="003261CD"/>
    <w:rsid w:val="0034117B"/>
    <w:rsid w:val="00341E1F"/>
    <w:rsid w:val="00343C28"/>
    <w:rsid w:val="00343D4D"/>
    <w:rsid w:val="00344906"/>
    <w:rsid w:val="003546B3"/>
    <w:rsid w:val="00354F59"/>
    <w:rsid w:val="00363350"/>
    <w:rsid w:val="00365609"/>
    <w:rsid w:val="0036743B"/>
    <w:rsid w:val="00376025"/>
    <w:rsid w:val="00385EE5"/>
    <w:rsid w:val="0039621A"/>
    <w:rsid w:val="003A17CD"/>
    <w:rsid w:val="003A1CB0"/>
    <w:rsid w:val="003A206F"/>
    <w:rsid w:val="003A2D06"/>
    <w:rsid w:val="003A5FE3"/>
    <w:rsid w:val="003C4948"/>
    <w:rsid w:val="003D1977"/>
    <w:rsid w:val="003F2399"/>
    <w:rsid w:val="003F4DDA"/>
    <w:rsid w:val="003F71CB"/>
    <w:rsid w:val="00406B61"/>
    <w:rsid w:val="004077D2"/>
    <w:rsid w:val="00410FB2"/>
    <w:rsid w:val="00411834"/>
    <w:rsid w:val="00420CB9"/>
    <w:rsid w:val="00431BA6"/>
    <w:rsid w:val="00434277"/>
    <w:rsid w:val="00442471"/>
    <w:rsid w:val="0044472D"/>
    <w:rsid w:val="00453ED8"/>
    <w:rsid w:val="00454141"/>
    <w:rsid w:val="004549AB"/>
    <w:rsid w:val="00455D2E"/>
    <w:rsid w:val="00463290"/>
    <w:rsid w:val="0046647C"/>
    <w:rsid w:val="004748E7"/>
    <w:rsid w:val="004776E7"/>
    <w:rsid w:val="00481E35"/>
    <w:rsid w:val="004853A8"/>
    <w:rsid w:val="0048777E"/>
    <w:rsid w:val="00497E9F"/>
    <w:rsid w:val="004A2694"/>
    <w:rsid w:val="004A74EF"/>
    <w:rsid w:val="004B5582"/>
    <w:rsid w:val="004C7F7B"/>
    <w:rsid w:val="004D065A"/>
    <w:rsid w:val="004D0A02"/>
    <w:rsid w:val="004D1614"/>
    <w:rsid w:val="004E5090"/>
    <w:rsid w:val="0050191A"/>
    <w:rsid w:val="00503C0D"/>
    <w:rsid w:val="00510C1B"/>
    <w:rsid w:val="005174C0"/>
    <w:rsid w:val="0052137F"/>
    <w:rsid w:val="005229C8"/>
    <w:rsid w:val="0052346B"/>
    <w:rsid w:val="00524EBC"/>
    <w:rsid w:val="005254BF"/>
    <w:rsid w:val="00532AF2"/>
    <w:rsid w:val="00536070"/>
    <w:rsid w:val="0054774C"/>
    <w:rsid w:val="0055118D"/>
    <w:rsid w:val="00553D5B"/>
    <w:rsid w:val="00557954"/>
    <w:rsid w:val="00561736"/>
    <w:rsid w:val="00563663"/>
    <w:rsid w:val="00571189"/>
    <w:rsid w:val="005722F2"/>
    <w:rsid w:val="0058589F"/>
    <w:rsid w:val="005B036F"/>
    <w:rsid w:val="005B4461"/>
    <w:rsid w:val="005C516E"/>
    <w:rsid w:val="005D129C"/>
    <w:rsid w:val="005D63AF"/>
    <w:rsid w:val="005E2E41"/>
    <w:rsid w:val="005E30E1"/>
    <w:rsid w:val="005E7DF7"/>
    <w:rsid w:val="005F547E"/>
    <w:rsid w:val="005F5651"/>
    <w:rsid w:val="006027D9"/>
    <w:rsid w:val="00602D93"/>
    <w:rsid w:val="00605578"/>
    <w:rsid w:val="00621755"/>
    <w:rsid w:val="00637314"/>
    <w:rsid w:val="0064315D"/>
    <w:rsid w:val="00646AA8"/>
    <w:rsid w:val="006536B2"/>
    <w:rsid w:val="00662552"/>
    <w:rsid w:val="00665019"/>
    <w:rsid w:val="00665C1D"/>
    <w:rsid w:val="006812DA"/>
    <w:rsid w:val="0068461E"/>
    <w:rsid w:val="00690133"/>
    <w:rsid w:val="00690195"/>
    <w:rsid w:val="006A44DE"/>
    <w:rsid w:val="006C0785"/>
    <w:rsid w:val="006C084D"/>
    <w:rsid w:val="006C5D05"/>
    <w:rsid w:val="006C6B29"/>
    <w:rsid w:val="006C7038"/>
    <w:rsid w:val="006D029A"/>
    <w:rsid w:val="006E1913"/>
    <w:rsid w:val="006F1A03"/>
    <w:rsid w:val="00700703"/>
    <w:rsid w:val="00704EEA"/>
    <w:rsid w:val="00706854"/>
    <w:rsid w:val="00706F61"/>
    <w:rsid w:val="00707FBC"/>
    <w:rsid w:val="00717065"/>
    <w:rsid w:val="00717717"/>
    <w:rsid w:val="007325C6"/>
    <w:rsid w:val="0073508C"/>
    <w:rsid w:val="00736444"/>
    <w:rsid w:val="00737620"/>
    <w:rsid w:val="00763BC8"/>
    <w:rsid w:val="00777E58"/>
    <w:rsid w:val="00782E7E"/>
    <w:rsid w:val="007831DF"/>
    <w:rsid w:val="00786FE3"/>
    <w:rsid w:val="0079360E"/>
    <w:rsid w:val="007A47A8"/>
    <w:rsid w:val="007B2383"/>
    <w:rsid w:val="007B414C"/>
    <w:rsid w:val="007C00D1"/>
    <w:rsid w:val="007D0D80"/>
    <w:rsid w:val="007D257A"/>
    <w:rsid w:val="007D5153"/>
    <w:rsid w:val="007D57C4"/>
    <w:rsid w:val="007E1B48"/>
    <w:rsid w:val="007E4C70"/>
    <w:rsid w:val="007E56A5"/>
    <w:rsid w:val="007E681E"/>
    <w:rsid w:val="008052AE"/>
    <w:rsid w:val="00806F6F"/>
    <w:rsid w:val="00820DBF"/>
    <w:rsid w:val="00823BCB"/>
    <w:rsid w:val="008355B7"/>
    <w:rsid w:val="00836527"/>
    <w:rsid w:val="00837308"/>
    <w:rsid w:val="00837CA3"/>
    <w:rsid w:val="00841793"/>
    <w:rsid w:val="00843557"/>
    <w:rsid w:val="00843EEF"/>
    <w:rsid w:val="0085049E"/>
    <w:rsid w:val="00851FD0"/>
    <w:rsid w:val="00852CA6"/>
    <w:rsid w:val="00866661"/>
    <w:rsid w:val="00881F9A"/>
    <w:rsid w:val="00887F5F"/>
    <w:rsid w:val="00890076"/>
    <w:rsid w:val="008A1F4F"/>
    <w:rsid w:val="008A71CF"/>
    <w:rsid w:val="008A7620"/>
    <w:rsid w:val="008C11EA"/>
    <w:rsid w:val="008E057F"/>
    <w:rsid w:val="008E670F"/>
    <w:rsid w:val="00900701"/>
    <w:rsid w:val="00902CDA"/>
    <w:rsid w:val="009175E5"/>
    <w:rsid w:val="0092278C"/>
    <w:rsid w:val="0092323C"/>
    <w:rsid w:val="00930B5D"/>
    <w:rsid w:val="0095336C"/>
    <w:rsid w:val="00962DA5"/>
    <w:rsid w:val="00964C32"/>
    <w:rsid w:val="00966DCD"/>
    <w:rsid w:val="00977A3C"/>
    <w:rsid w:val="00982231"/>
    <w:rsid w:val="009903CD"/>
    <w:rsid w:val="00990903"/>
    <w:rsid w:val="009912D7"/>
    <w:rsid w:val="00992057"/>
    <w:rsid w:val="00992C3E"/>
    <w:rsid w:val="0099483A"/>
    <w:rsid w:val="00995422"/>
    <w:rsid w:val="009B6354"/>
    <w:rsid w:val="009C172F"/>
    <w:rsid w:val="009C28DF"/>
    <w:rsid w:val="009C3ADA"/>
    <w:rsid w:val="009C7EFF"/>
    <w:rsid w:val="009D3396"/>
    <w:rsid w:val="009D61C0"/>
    <w:rsid w:val="009E6C1F"/>
    <w:rsid w:val="009E719E"/>
    <w:rsid w:val="009F1A28"/>
    <w:rsid w:val="009F41BB"/>
    <w:rsid w:val="00A0446A"/>
    <w:rsid w:val="00A07882"/>
    <w:rsid w:val="00A13A76"/>
    <w:rsid w:val="00A15ED2"/>
    <w:rsid w:val="00A1657A"/>
    <w:rsid w:val="00A217BC"/>
    <w:rsid w:val="00A30431"/>
    <w:rsid w:val="00A31AFA"/>
    <w:rsid w:val="00A354CD"/>
    <w:rsid w:val="00A367D8"/>
    <w:rsid w:val="00A44A1E"/>
    <w:rsid w:val="00A47007"/>
    <w:rsid w:val="00A5226C"/>
    <w:rsid w:val="00A52759"/>
    <w:rsid w:val="00A628F5"/>
    <w:rsid w:val="00A640F1"/>
    <w:rsid w:val="00A75404"/>
    <w:rsid w:val="00A7626F"/>
    <w:rsid w:val="00A764E9"/>
    <w:rsid w:val="00A83010"/>
    <w:rsid w:val="00A9736A"/>
    <w:rsid w:val="00AA7229"/>
    <w:rsid w:val="00AB066F"/>
    <w:rsid w:val="00AB4E13"/>
    <w:rsid w:val="00AC23AA"/>
    <w:rsid w:val="00AC311E"/>
    <w:rsid w:val="00AD0C85"/>
    <w:rsid w:val="00AE0718"/>
    <w:rsid w:val="00AF4863"/>
    <w:rsid w:val="00B0488A"/>
    <w:rsid w:val="00B069EB"/>
    <w:rsid w:val="00B07707"/>
    <w:rsid w:val="00B206E7"/>
    <w:rsid w:val="00B219F6"/>
    <w:rsid w:val="00B22977"/>
    <w:rsid w:val="00B2748A"/>
    <w:rsid w:val="00B305EB"/>
    <w:rsid w:val="00B306DB"/>
    <w:rsid w:val="00B308C9"/>
    <w:rsid w:val="00B321DE"/>
    <w:rsid w:val="00B371EB"/>
    <w:rsid w:val="00B40C04"/>
    <w:rsid w:val="00B520E6"/>
    <w:rsid w:val="00B547BF"/>
    <w:rsid w:val="00B5571D"/>
    <w:rsid w:val="00B5597E"/>
    <w:rsid w:val="00B608F1"/>
    <w:rsid w:val="00B82577"/>
    <w:rsid w:val="00B86FF7"/>
    <w:rsid w:val="00B90938"/>
    <w:rsid w:val="00B93095"/>
    <w:rsid w:val="00BA78AB"/>
    <w:rsid w:val="00BC488B"/>
    <w:rsid w:val="00BC5083"/>
    <w:rsid w:val="00BC7015"/>
    <w:rsid w:val="00BD34B0"/>
    <w:rsid w:val="00BE27A7"/>
    <w:rsid w:val="00BE7CD1"/>
    <w:rsid w:val="00C017F3"/>
    <w:rsid w:val="00C0254B"/>
    <w:rsid w:val="00C06E5E"/>
    <w:rsid w:val="00C11EBA"/>
    <w:rsid w:val="00C14AE4"/>
    <w:rsid w:val="00C23B7F"/>
    <w:rsid w:val="00C31BFF"/>
    <w:rsid w:val="00C33C3C"/>
    <w:rsid w:val="00C378C3"/>
    <w:rsid w:val="00C37A32"/>
    <w:rsid w:val="00C45BFA"/>
    <w:rsid w:val="00C47AE9"/>
    <w:rsid w:val="00C506A8"/>
    <w:rsid w:val="00C561A6"/>
    <w:rsid w:val="00C6780B"/>
    <w:rsid w:val="00C72744"/>
    <w:rsid w:val="00CA2598"/>
    <w:rsid w:val="00CB09DD"/>
    <w:rsid w:val="00CC1505"/>
    <w:rsid w:val="00CC55BE"/>
    <w:rsid w:val="00CE7AD0"/>
    <w:rsid w:val="00CF00D5"/>
    <w:rsid w:val="00CF661E"/>
    <w:rsid w:val="00CF6BAE"/>
    <w:rsid w:val="00D0512A"/>
    <w:rsid w:val="00D10181"/>
    <w:rsid w:val="00D15190"/>
    <w:rsid w:val="00D16CDD"/>
    <w:rsid w:val="00D210DA"/>
    <w:rsid w:val="00D30F24"/>
    <w:rsid w:val="00D379B0"/>
    <w:rsid w:val="00D41371"/>
    <w:rsid w:val="00D41ECA"/>
    <w:rsid w:val="00D45387"/>
    <w:rsid w:val="00D5576D"/>
    <w:rsid w:val="00D574A6"/>
    <w:rsid w:val="00D67570"/>
    <w:rsid w:val="00D750BF"/>
    <w:rsid w:val="00D7718B"/>
    <w:rsid w:val="00D9051C"/>
    <w:rsid w:val="00D9258C"/>
    <w:rsid w:val="00D92C7C"/>
    <w:rsid w:val="00DA6970"/>
    <w:rsid w:val="00DB05DB"/>
    <w:rsid w:val="00DB36D8"/>
    <w:rsid w:val="00DB52DF"/>
    <w:rsid w:val="00DC0127"/>
    <w:rsid w:val="00DC1607"/>
    <w:rsid w:val="00DC2A59"/>
    <w:rsid w:val="00DE26D6"/>
    <w:rsid w:val="00DE6380"/>
    <w:rsid w:val="00DF0B67"/>
    <w:rsid w:val="00DF370D"/>
    <w:rsid w:val="00DF487B"/>
    <w:rsid w:val="00E01891"/>
    <w:rsid w:val="00E02D52"/>
    <w:rsid w:val="00E03F37"/>
    <w:rsid w:val="00E047A7"/>
    <w:rsid w:val="00E15854"/>
    <w:rsid w:val="00E25161"/>
    <w:rsid w:val="00E31FA4"/>
    <w:rsid w:val="00E350A4"/>
    <w:rsid w:val="00E35164"/>
    <w:rsid w:val="00E3590C"/>
    <w:rsid w:val="00E42084"/>
    <w:rsid w:val="00E43E96"/>
    <w:rsid w:val="00E6155C"/>
    <w:rsid w:val="00E6593C"/>
    <w:rsid w:val="00E65B6A"/>
    <w:rsid w:val="00E70C86"/>
    <w:rsid w:val="00E743E2"/>
    <w:rsid w:val="00E752A1"/>
    <w:rsid w:val="00E752A2"/>
    <w:rsid w:val="00E856F3"/>
    <w:rsid w:val="00E933FC"/>
    <w:rsid w:val="00EA0B73"/>
    <w:rsid w:val="00EB30F6"/>
    <w:rsid w:val="00EC0583"/>
    <w:rsid w:val="00EC3E55"/>
    <w:rsid w:val="00ED0662"/>
    <w:rsid w:val="00ED2063"/>
    <w:rsid w:val="00ED54C7"/>
    <w:rsid w:val="00ED6B96"/>
    <w:rsid w:val="00EE494D"/>
    <w:rsid w:val="00EE4A99"/>
    <w:rsid w:val="00F073E4"/>
    <w:rsid w:val="00F14095"/>
    <w:rsid w:val="00F15B35"/>
    <w:rsid w:val="00F2014C"/>
    <w:rsid w:val="00F239BA"/>
    <w:rsid w:val="00F254A4"/>
    <w:rsid w:val="00F335AE"/>
    <w:rsid w:val="00F36DBF"/>
    <w:rsid w:val="00F37A3C"/>
    <w:rsid w:val="00F40C70"/>
    <w:rsid w:val="00F4121F"/>
    <w:rsid w:val="00F5144F"/>
    <w:rsid w:val="00F53D6C"/>
    <w:rsid w:val="00F717BE"/>
    <w:rsid w:val="00F826EE"/>
    <w:rsid w:val="00F9356A"/>
    <w:rsid w:val="00F9484A"/>
    <w:rsid w:val="00F96100"/>
    <w:rsid w:val="00FA21BE"/>
    <w:rsid w:val="00FA479B"/>
    <w:rsid w:val="00FA4E61"/>
    <w:rsid w:val="00FA5550"/>
    <w:rsid w:val="00FA5BC5"/>
    <w:rsid w:val="00FB74BC"/>
    <w:rsid w:val="00FB7C1B"/>
    <w:rsid w:val="00FC605F"/>
    <w:rsid w:val="00FD4801"/>
    <w:rsid w:val="00FD5C90"/>
    <w:rsid w:val="00FE09D6"/>
    <w:rsid w:val="00FE2755"/>
    <w:rsid w:val="00FE6E08"/>
    <w:rsid w:val="00FF5AB4"/>
    <w:rsid w:val="00FF7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3C64"/>
  <w15:docId w15:val="{13C3CA4A-5824-4B94-8A3D-751D00820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5B"/>
    <w:pPr>
      <w:spacing w:before="180"/>
    </w:pPr>
    <w:rPr>
      <w:rFonts w:ascii="Arial" w:hAnsi="Arial"/>
      <w:sz w:val="22"/>
      <w:szCs w:val="24"/>
    </w:rPr>
  </w:style>
  <w:style w:type="paragraph" w:styleId="Heading1">
    <w:name w:val="heading 1"/>
    <w:basedOn w:val="Header"/>
    <w:next w:val="Normal"/>
    <w:link w:val="Heading1Char"/>
    <w:qFormat/>
    <w:rsid w:val="00553D5B"/>
    <w:pPr>
      <w:tabs>
        <w:tab w:val="clear" w:pos="4320"/>
      </w:tabs>
      <w:outlineLvl w:val="0"/>
    </w:pPr>
    <w:rPr>
      <w:b/>
      <w:sz w:val="24"/>
      <w:szCs w:val="20"/>
    </w:rPr>
  </w:style>
  <w:style w:type="paragraph" w:styleId="Heading2">
    <w:name w:val="heading 2"/>
    <w:aliases w:val="TT - Heading 2"/>
    <w:basedOn w:val="Header"/>
    <w:next w:val="Normal"/>
    <w:qFormat/>
    <w:rsid w:val="00553D5B"/>
    <w:pPr>
      <w:tabs>
        <w:tab w:val="clear" w:pos="4320"/>
      </w:tabs>
      <w:spacing w:after="120"/>
      <w:outlineLvl w:val="1"/>
    </w:pPr>
    <w:rPr>
      <w:b/>
      <w:color w:val="000000" w:themeColor="text1"/>
      <w:szCs w:val="16"/>
    </w:rPr>
  </w:style>
  <w:style w:type="paragraph" w:styleId="Heading3">
    <w:name w:val="heading 3"/>
    <w:aliases w:val="TT - Heading 3"/>
    <w:basedOn w:val="Normal"/>
    <w:next w:val="Normal"/>
    <w:qFormat/>
    <w:locked/>
    <w:rsid w:val="00A628F5"/>
    <w:pPr>
      <w:keepNext/>
      <w:spacing w:after="120"/>
      <w:outlineLvl w:val="2"/>
    </w:pPr>
    <w:rPr>
      <w:rFonts w:cs="Arial"/>
      <w:bCs/>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23201"/>
    <w:pPr>
      <w:tabs>
        <w:tab w:val="center" w:pos="4320"/>
        <w:tab w:val="right" w:pos="8640"/>
      </w:tabs>
    </w:pPr>
  </w:style>
  <w:style w:type="paragraph" w:styleId="Footer">
    <w:name w:val="footer"/>
    <w:basedOn w:val="Normal"/>
    <w:rsid w:val="00AB4E13"/>
    <w:pPr>
      <w:tabs>
        <w:tab w:val="center" w:pos="4320"/>
        <w:tab w:val="right" w:pos="8640"/>
      </w:tabs>
      <w:jc w:val="right"/>
    </w:pPr>
    <w:rPr>
      <w:rFonts w:ascii="Gill Sans MT" w:hAnsi="Gill Sans MT"/>
      <w:color w:val="939598"/>
      <w:sz w:val="16"/>
      <w:szCs w:val="16"/>
    </w:rPr>
  </w:style>
  <w:style w:type="character" w:styleId="PageNumber">
    <w:name w:val="page number"/>
    <w:basedOn w:val="DefaultParagraphFont"/>
    <w:rsid w:val="005B4461"/>
    <w:rPr>
      <w:rFonts w:cs="Times New Roman"/>
    </w:rPr>
  </w:style>
  <w:style w:type="paragraph" w:styleId="BalloonText">
    <w:name w:val="Balloon Text"/>
    <w:basedOn w:val="Normal"/>
    <w:semiHidden/>
    <w:rsid w:val="00706854"/>
    <w:rPr>
      <w:rFonts w:ascii="Tahoma" w:hAnsi="Tahoma"/>
      <w:sz w:val="16"/>
      <w:szCs w:val="16"/>
    </w:rPr>
  </w:style>
  <w:style w:type="table" w:styleId="TableGrid">
    <w:name w:val="Table Grid"/>
    <w:basedOn w:val="TableNormal"/>
    <w:rsid w:val="00EE4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FaxCell">
    <w:name w:val="Tel/Fax/Cell"/>
    <w:basedOn w:val="Footer"/>
    <w:rsid w:val="00E752A2"/>
    <w:rPr>
      <w:color w:val="5C93C6"/>
      <w:sz w:val="17"/>
    </w:rPr>
  </w:style>
  <w:style w:type="character" w:styleId="Hyperlink">
    <w:name w:val="Hyperlink"/>
    <w:basedOn w:val="DefaultParagraphFont"/>
    <w:rsid w:val="00B82577"/>
    <w:rPr>
      <w:rFonts w:cs="Times New Roman"/>
      <w:color w:val="0000FF"/>
      <w:u w:val="single"/>
    </w:rPr>
  </w:style>
  <w:style w:type="paragraph" w:customStyle="1" w:styleId="TableHeadings">
    <w:name w:val="Table Headings"/>
    <w:basedOn w:val="Normal"/>
    <w:rsid w:val="0092278C"/>
    <w:pPr>
      <w:spacing w:before="60"/>
    </w:pPr>
    <w:rPr>
      <w:rFonts w:ascii="GillSans" w:hAnsi="GillSans"/>
      <w:b/>
      <w:szCs w:val="20"/>
    </w:rPr>
  </w:style>
  <w:style w:type="paragraph" w:customStyle="1" w:styleId="Subject">
    <w:name w:val="Subject"/>
    <w:basedOn w:val="Normal"/>
    <w:rsid w:val="00320D1E"/>
    <w:pPr>
      <w:spacing w:before="60"/>
    </w:pPr>
    <w:rPr>
      <w:b/>
      <w:caps/>
      <w:szCs w:val="20"/>
    </w:rPr>
  </w:style>
  <w:style w:type="paragraph" w:customStyle="1" w:styleId="Memorandum">
    <w:name w:val="Memorandum"/>
    <w:rsid w:val="0092278C"/>
    <w:pPr>
      <w:jc w:val="center"/>
    </w:pPr>
    <w:rPr>
      <w:rFonts w:ascii="GillSans" w:hAnsi="GillSans" w:cs="Tahoma"/>
      <w:b/>
      <w:spacing w:val="30"/>
    </w:rPr>
  </w:style>
  <w:style w:type="paragraph" w:customStyle="1" w:styleId="From">
    <w:name w:val="From"/>
    <w:basedOn w:val="Normal"/>
    <w:rsid w:val="00320D1E"/>
    <w:pPr>
      <w:spacing w:before="60" w:after="40"/>
    </w:pPr>
    <w:rPr>
      <w:szCs w:val="20"/>
    </w:rPr>
  </w:style>
  <w:style w:type="paragraph" w:customStyle="1" w:styleId="PADate">
    <w:name w:val="PA Date"/>
    <w:basedOn w:val="Normal"/>
    <w:rsid w:val="00320D1E"/>
    <w:pPr>
      <w:spacing w:before="280" w:after="240"/>
    </w:pPr>
    <w:rPr>
      <w:szCs w:val="20"/>
    </w:rPr>
  </w:style>
  <w:style w:type="character" w:customStyle="1" w:styleId="HeaderChar">
    <w:name w:val="Header Char"/>
    <w:basedOn w:val="DefaultParagraphFont"/>
    <w:link w:val="Header"/>
    <w:rsid w:val="00557954"/>
    <w:rPr>
      <w:rFonts w:ascii="Franklin Gothic Book" w:hAnsi="Franklin Gothic Book"/>
      <w:szCs w:val="24"/>
      <w:lang w:val="en-US" w:eastAsia="en-US" w:bidi="ar-SA"/>
    </w:rPr>
  </w:style>
  <w:style w:type="character" w:customStyle="1" w:styleId="Heading1Char">
    <w:name w:val="Heading 1 Char"/>
    <w:basedOn w:val="HeaderChar"/>
    <w:link w:val="Heading1"/>
    <w:rsid w:val="00553D5B"/>
    <w:rPr>
      <w:rFonts w:ascii="Arial" w:hAnsi="Arial"/>
      <w:b/>
      <w:sz w:val="24"/>
      <w:szCs w:val="24"/>
      <w:lang w:val="en-US" w:eastAsia="en-US" w:bidi="ar-SA"/>
    </w:rPr>
  </w:style>
  <w:style w:type="paragraph" w:styleId="ListParagraph">
    <w:name w:val="List Paragraph"/>
    <w:basedOn w:val="Normal"/>
    <w:uiPriority w:val="34"/>
    <w:rsid w:val="00203CB5"/>
    <w:pPr>
      <w:spacing w:before="160"/>
      <w:ind w:left="850" w:hanging="288"/>
    </w:pPr>
  </w:style>
  <w:style w:type="paragraph" w:styleId="ListBullet">
    <w:name w:val="List Bullet"/>
    <w:basedOn w:val="Normal"/>
    <w:qFormat/>
    <w:rsid w:val="00A9736A"/>
    <w:pPr>
      <w:numPr>
        <w:numId w:val="13"/>
      </w:numPr>
      <w:spacing w:before="160"/>
    </w:pPr>
    <w:rPr>
      <w:rFonts w:cs="Arial"/>
      <w:szCs w:val="20"/>
      <w:lang w:eastAsia="en-GB"/>
    </w:rPr>
  </w:style>
  <w:style w:type="paragraph" w:styleId="ListBullet2">
    <w:name w:val="List Bullet 2"/>
    <w:basedOn w:val="ListBullet"/>
    <w:qFormat/>
    <w:rsid w:val="00A9736A"/>
    <w:pPr>
      <w:numPr>
        <w:numId w:val="14"/>
      </w:numPr>
      <w:tabs>
        <w:tab w:val="left" w:pos="648"/>
      </w:tabs>
      <w:ind w:left="1138" w:hanging="288"/>
    </w:pPr>
  </w:style>
  <w:style w:type="paragraph" w:styleId="ListBullet3">
    <w:name w:val="List Bullet 3"/>
    <w:basedOn w:val="Normal"/>
    <w:qFormat/>
    <w:rsid w:val="00FB7C1B"/>
    <w:pPr>
      <w:numPr>
        <w:numId w:val="3"/>
      </w:numPr>
      <w:tabs>
        <w:tab w:val="left" w:pos="922"/>
      </w:tabs>
      <w:spacing w:before="160"/>
      <w:ind w:left="1426" w:hanging="288"/>
    </w:pPr>
  </w:style>
  <w:style w:type="paragraph" w:customStyle="1" w:styleId="ListNumber1">
    <w:name w:val="List Number1"/>
    <w:basedOn w:val="Normal"/>
    <w:qFormat/>
    <w:rsid w:val="00FB7C1B"/>
    <w:pPr>
      <w:numPr>
        <w:numId w:val="6"/>
      </w:numPr>
      <w:spacing w:before="160"/>
      <w:ind w:left="850" w:hanging="288"/>
    </w:pPr>
  </w:style>
  <w:style w:type="paragraph" w:customStyle="1" w:styleId="ListNumber21">
    <w:name w:val="List Number 21"/>
    <w:basedOn w:val="ListBullet2"/>
    <w:qFormat/>
    <w:rsid w:val="00FB7C1B"/>
    <w:pPr>
      <w:numPr>
        <w:numId w:val="15"/>
      </w:numPr>
      <w:ind w:left="1138" w:hanging="288"/>
    </w:pPr>
  </w:style>
  <w:style w:type="paragraph" w:styleId="FootnoteText">
    <w:name w:val="footnote text"/>
    <w:aliases w:val="Footnote Text1 Char,Footnote Text Char Ch,Char2 Char,Footnote Text Char Ch Char Char Char,Footnote Text Char Ch Char Char,Footnote Text1 Char Char Char"/>
    <w:basedOn w:val="Normal"/>
    <w:link w:val="FootnoteTextChar"/>
    <w:uiPriority w:val="99"/>
    <w:rsid w:val="00A764E9"/>
    <w:pPr>
      <w:spacing w:before="0"/>
    </w:pPr>
    <w:rPr>
      <w:sz w:val="20"/>
      <w:szCs w:val="20"/>
    </w:rPr>
  </w:style>
  <w:style w:type="character" w:customStyle="1" w:styleId="FootnoteTextChar">
    <w:name w:val="Footnote Text Char"/>
    <w:aliases w:val="Footnote Text1 Char Char,Footnote Text Char Ch Char,Char2 Char Char,Footnote Text Char Ch Char Char Char Char,Footnote Text Char Ch Char Char Char1,Footnote Text1 Char Char Char Char"/>
    <w:basedOn w:val="DefaultParagraphFont"/>
    <w:link w:val="FootnoteText"/>
    <w:uiPriority w:val="99"/>
    <w:rsid w:val="00A764E9"/>
    <w:rPr>
      <w:rFonts w:ascii="Arial" w:hAnsi="Arial"/>
    </w:rPr>
  </w:style>
  <w:style w:type="character" w:styleId="FootnoteReference">
    <w:name w:val="footnote reference"/>
    <w:aliases w:val="o"/>
    <w:basedOn w:val="DefaultParagraphFont"/>
    <w:uiPriority w:val="99"/>
    <w:rsid w:val="00A764E9"/>
    <w:rPr>
      <w:vertAlign w:val="superscript"/>
    </w:rPr>
  </w:style>
  <w:style w:type="paragraph" w:styleId="Caption">
    <w:name w:val="caption"/>
    <w:basedOn w:val="Normal"/>
    <w:next w:val="Normal"/>
    <w:link w:val="CaptionChar"/>
    <w:unhideWhenUsed/>
    <w:qFormat/>
    <w:locked/>
    <w:rsid w:val="00420CB9"/>
    <w:pPr>
      <w:spacing w:before="160" w:after="40"/>
      <w:jc w:val="center"/>
    </w:pPr>
    <w:rPr>
      <w:b/>
      <w:bCs/>
      <w:sz w:val="20"/>
      <w:szCs w:val="18"/>
    </w:rPr>
  </w:style>
  <w:style w:type="character" w:styleId="CommentReference">
    <w:name w:val="annotation reference"/>
    <w:basedOn w:val="DefaultParagraphFont"/>
    <w:rsid w:val="00524EBC"/>
    <w:rPr>
      <w:sz w:val="16"/>
      <w:szCs w:val="16"/>
    </w:rPr>
  </w:style>
  <w:style w:type="paragraph" w:styleId="CommentText">
    <w:name w:val="annotation text"/>
    <w:basedOn w:val="Normal"/>
    <w:link w:val="CommentTextChar"/>
    <w:rsid w:val="00524EBC"/>
    <w:rPr>
      <w:sz w:val="20"/>
      <w:szCs w:val="20"/>
    </w:rPr>
  </w:style>
  <w:style w:type="character" w:customStyle="1" w:styleId="CommentTextChar">
    <w:name w:val="Comment Text Char"/>
    <w:basedOn w:val="DefaultParagraphFont"/>
    <w:link w:val="CommentText"/>
    <w:rsid w:val="00524EBC"/>
    <w:rPr>
      <w:rFonts w:ascii="Arial" w:hAnsi="Arial"/>
    </w:rPr>
  </w:style>
  <w:style w:type="paragraph" w:styleId="CommentSubject">
    <w:name w:val="annotation subject"/>
    <w:basedOn w:val="CommentText"/>
    <w:next w:val="CommentText"/>
    <w:link w:val="CommentSubjectChar"/>
    <w:rsid w:val="00524EBC"/>
    <w:rPr>
      <w:b/>
      <w:bCs/>
    </w:rPr>
  </w:style>
  <w:style w:type="character" w:customStyle="1" w:styleId="CommentSubjectChar">
    <w:name w:val="Comment Subject Char"/>
    <w:basedOn w:val="CommentTextChar"/>
    <w:link w:val="CommentSubject"/>
    <w:rsid w:val="00524EBC"/>
    <w:rPr>
      <w:rFonts w:ascii="Arial" w:hAnsi="Arial"/>
      <w:b/>
      <w:bCs/>
    </w:rPr>
  </w:style>
  <w:style w:type="paragraph" w:styleId="TOC1">
    <w:name w:val="toc 1"/>
    <w:aliases w:val="TOC subhead,TT - TOC 1"/>
    <w:basedOn w:val="Normal"/>
    <w:next w:val="Normal"/>
    <w:autoRedefine/>
    <w:uiPriority w:val="39"/>
    <w:qFormat/>
    <w:rsid w:val="00F96100"/>
    <w:pPr>
      <w:tabs>
        <w:tab w:val="right" w:leader="dot" w:pos="9120"/>
      </w:tabs>
      <w:spacing w:before="0" w:line="360" w:lineRule="auto"/>
      <w:ind w:left="432" w:right="432" w:hanging="432"/>
    </w:pPr>
    <w:rPr>
      <w:rFonts w:ascii="Times New Roman" w:hAnsi="Times New Roman"/>
      <w:b/>
      <w:noProof/>
      <w:sz w:val="24"/>
    </w:rPr>
  </w:style>
  <w:style w:type="paragraph" w:customStyle="1" w:styleId="Default">
    <w:name w:val="Default"/>
    <w:rsid w:val="00F96100"/>
    <w:pPr>
      <w:autoSpaceDE w:val="0"/>
      <w:autoSpaceDN w:val="0"/>
      <w:adjustRightInd w:val="0"/>
    </w:pPr>
    <w:rPr>
      <w:color w:val="000000"/>
      <w:sz w:val="24"/>
      <w:szCs w:val="24"/>
    </w:rPr>
  </w:style>
  <w:style w:type="paragraph" w:customStyle="1" w:styleId="TT-Caption">
    <w:name w:val="TT - Caption"/>
    <w:basedOn w:val="Caption"/>
    <w:qFormat/>
    <w:rsid w:val="00B0488A"/>
    <w:pPr>
      <w:keepNext/>
      <w:spacing w:before="120" w:after="60"/>
    </w:pPr>
    <w:rPr>
      <w:rFonts w:ascii="Arial Bold" w:hAnsi="Arial Bold" w:cs="Arial"/>
    </w:rPr>
  </w:style>
  <w:style w:type="paragraph" w:styleId="Revision">
    <w:name w:val="Revision"/>
    <w:hidden/>
    <w:uiPriority w:val="99"/>
    <w:semiHidden/>
    <w:rsid w:val="003A17CD"/>
    <w:rPr>
      <w:rFonts w:ascii="Arial" w:hAnsi="Arial"/>
      <w:sz w:val="22"/>
      <w:szCs w:val="24"/>
    </w:rPr>
  </w:style>
  <w:style w:type="character" w:customStyle="1" w:styleId="CaptionChar">
    <w:name w:val="Caption Char"/>
    <w:link w:val="Caption"/>
    <w:uiPriority w:val="35"/>
    <w:locked/>
    <w:rsid w:val="00FC605F"/>
    <w:rPr>
      <w:rFonts w:ascii="Arial" w:hAnsi="Arial"/>
      <w:b/>
      <w:b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2410">
      <w:bodyDiv w:val="1"/>
      <w:marLeft w:val="0"/>
      <w:marRight w:val="0"/>
      <w:marTop w:val="0"/>
      <w:marBottom w:val="0"/>
      <w:divBdr>
        <w:top w:val="none" w:sz="0" w:space="0" w:color="auto"/>
        <w:left w:val="none" w:sz="0" w:space="0" w:color="auto"/>
        <w:bottom w:val="none" w:sz="0" w:space="0" w:color="auto"/>
        <w:right w:val="none" w:sz="0" w:space="0" w:color="auto"/>
      </w:divBdr>
    </w:div>
    <w:div w:id="85469397">
      <w:bodyDiv w:val="1"/>
      <w:marLeft w:val="0"/>
      <w:marRight w:val="0"/>
      <w:marTop w:val="0"/>
      <w:marBottom w:val="0"/>
      <w:divBdr>
        <w:top w:val="none" w:sz="0" w:space="0" w:color="auto"/>
        <w:left w:val="none" w:sz="0" w:space="0" w:color="auto"/>
        <w:bottom w:val="none" w:sz="0" w:space="0" w:color="auto"/>
        <w:right w:val="none" w:sz="0" w:space="0" w:color="auto"/>
      </w:divBdr>
    </w:div>
    <w:div w:id="108935460">
      <w:bodyDiv w:val="1"/>
      <w:marLeft w:val="0"/>
      <w:marRight w:val="0"/>
      <w:marTop w:val="0"/>
      <w:marBottom w:val="0"/>
      <w:divBdr>
        <w:top w:val="none" w:sz="0" w:space="0" w:color="auto"/>
        <w:left w:val="none" w:sz="0" w:space="0" w:color="auto"/>
        <w:bottom w:val="none" w:sz="0" w:space="0" w:color="auto"/>
        <w:right w:val="none" w:sz="0" w:space="0" w:color="auto"/>
      </w:divBdr>
    </w:div>
    <w:div w:id="205606993">
      <w:bodyDiv w:val="1"/>
      <w:marLeft w:val="0"/>
      <w:marRight w:val="0"/>
      <w:marTop w:val="0"/>
      <w:marBottom w:val="0"/>
      <w:divBdr>
        <w:top w:val="none" w:sz="0" w:space="0" w:color="auto"/>
        <w:left w:val="none" w:sz="0" w:space="0" w:color="auto"/>
        <w:bottom w:val="none" w:sz="0" w:space="0" w:color="auto"/>
        <w:right w:val="none" w:sz="0" w:space="0" w:color="auto"/>
      </w:divBdr>
    </w:div>
    <w:div w:id="220950003">
      <w:bodyDiv w:val="1"/>
      <w:marLeft w:val="0"/>
      <w:marRight w:val="0"/>
      <w:marTop w:val="0"/>
      <w:marBottom w:val="0"/>
      <w:divBdr>
        <w:top w:val="none" w:sz="0" w:space="0" w:color="auto"/>
        <w:left w:val="none" w:sz="0" w:space="0" w:color="auto"/>
        <w:bottom w:val="none" w:sz="0" w:space="0" w:color="auto"/>
        <w:right w:val="none" w:sz="0" w:space="0" w:color="auto"/>
      </w:divBdr>
    </w:div>
    <w:div w:id="293292562">
      <w:bodyDiv w:val="1"/>
      <w:marLeft w:val="0"/>
      <w:marRight w:val="0"/>
      <w:marTop w:val="0"/>
      <w:marBottom w:val="0"/>
      <w:divBdr>
        <w:top w:val="none" w:sz="0" w:space="0" w:color="auto"/>
        <w:left w:val="none" w:sz="0" w:space="0" w:color="auto"/>
        <w:bottom w:val="none" w:sz="0" w:space="0" w:color="auto"/>
        <w:right w:val="none" w:sz="0" w:space="0" w:color="auto"/>
      </w:divBdr>
    </w:div>
    <w:div w:id="447504848">
      <w:bodyDiv w:val="1"/>
      <w:marLeft w:val="0"/>
      <w:marRight w:val="0"/>
      <w:marTop w:val="0"/>
      <w:marBottom w:val="0"/>
      <w:divBdr>
        <w:top w:val="none" w:sz="0" w:space="0" w:color="auto"/>
        <w:left w:val="none" w:sz="0" w:space="0" w:color="auto"/>
        <w:bottom w:val="none" w:sz="0" w:space="0" w:color="auto"/>
        <w:right w:val="none" w:sz="0" w:space="0" w:color="auto"/>
      </w:divBdr>
    </w:div>
    <w:div w:id="472989086">
      <w:bodyDiv w:val="1"/>
      <w:marLeft w:val="0"/>
      <w:marRight w:val="0"/>
      <w:marTop w:val="0"/>
      <w:marBottom w:val="0"/>
      <w:divBdr>
        <w:top w:val="none" w:sz="0" w:space="0" w:color="auto"/>
        <w:left w:val="none" w:sz="0" w:space="0" w:color="auto"/>
        <w:bottom w:val="none" w:sz="0" w:space="0" w:color="auto"/>
        <w:right w:val="none" w:sz="0" w:space="0" w:color="auto"/>
      </w:divBdr>
    </w:div>
    <w:div w:id="525603579">
      <w:bodyDiv w:val="1"/>
      <w:marLeft w:val="0"/>
      <w:marRight w:val="0"/>
      <w:marTop w:val="0"/>
      <w:marBottom w:val="0"/>
      <w:divBdr>
        <w:top w:val="none" w:sz="0" w:space="0" w:color="auto"/>
        <w:left w:val="none" w:sz="0" w:space="0" w:color="auto"/>
        <w:bottom w:val="none" w:sz="0" w:space="0" w:color="auto"/>
        <w:right w:val="none" w:sz="0" w:space="0" w:color="auto"/>
      </w:divBdr>
    </w:div>
    <w:div w:id="532426595">
      <w:bodyDiv w:val="1"/>
      <w:marLeft w:val="0"/>
      <w:marRight w:val="0"/>
      <w:marTop w:val="0"/>
      <w:marBottom w:val="0"/>
      <w:divBdr>
        <w:top w:val="none" w:sz="0" w:space="0" w:color="auto"/>
        <w:left w:val="none" w:sz="0" w:space="0" w:color="auto"/>
        <w:bottom w:val="none" w:sz="0" w:space="0" w:color="auto"/>
        <w:right w:val="none" w:sz="0" w:space="0" w:color="auto"/>
      </w:divBdr>
    </w:div>
    <w:div w:id="557980277">
      <w:bodyDiv w:val="1"/>
      <w:marLeft w:val="0"/>
      <w:marRight w:val="0"/>
      <w:marTop w:val="0"/>
      <w:marBottom w:val="0"/>
      <w:divBdr>
        <w:top w:val="none" w:sz="0" w:space="0" w:color="auto"/>
        <w:left w:val="none" w:sz="0" w:space="0" w:color="auto"/>
        <w:bottom w:val="none" w:sz="0" w:space="0" w:color="auto"/>
        <w:right w:val="none" w:sz="0" w:space="0" w:color="auto"/>
      </w:divBdr>
    </w:div>
    <w:div w:id="665321792">
      <w:bodyDiv w:val="1"/>
      <w:marLeft w:val="0"/>
      <w:marRight w:val="0"/>
      <w:marTop w:val="0"/>
      <w:marBottom w:val="0"/>
      <w:divBdr>
        <w:top w:val="none" w:sz="0" w:space="0" w:color="auto"/>
        <w:left w:val="none" w:sz="0" w:space="0" w:color="auto"/>
        <w:bottom w:val="none" w:sz="0" w:space="0" w:color="auto"/>
        <w:right w:val="none" w:sz="0" w:space="0" w:color="auto"/>
      </w:divBdr>
    </w:div>
    <w:div w:id="669215885">
      <w:bodyDiv w:val="1"/>
      <w:marLeft w:val="0"/>
      <w:marRight w:val="0"/>
      <w:marTop w:val="0"/>
      <w:marBottom w:val="0"/>
      <w:divBdr>
        <w:top w:val="none" w:sz="0" w:space="0" w:color="auto"/>
        <w:left w:val="none" w:sz="0" w:space="0" w:color="auto"/>
        <w:bottom w:val="none" w:sz="0" w:space="0" w:color="auto"/>
        <w:right w:val="none" w:sz="0" w:space="0" w:color="auto"/>
      </w:divBdr>
    </w:div>
    <w:div w:id="811216321">
      <w:bodyDiv w:val="1"/>
      <w:marLeft w:val="0"/>
      <w:marRight w:val="0"/>
      <w:marTop w:val="0"/>
      <w:marBottom w:val="0"/>
      <w:divBdr>
        <w:top w:val="none" w:sz="0" w:space="0" w:color="auto"/>
        <w:left w:val="none" w:sz="0" w:space="0" w:color="auto"/>
        <w:bottom w:val="none" w:sz="0" w:space="0" w:color="auto"/>
        <w:right w:val="none" w:sz="0" w:space="0" w:color="auto"/>
      </w:divBdr>
    </w:div>
    <w:div w:id="820270161">
      <w:bodyDiv w:val="1"/>
      <w:marLeft w:val="0"/>
      <w:marRight w:val="0"/>
      <w:marTop w:val="0"/>
      <w:marBottom w:val="0"/>
      <w:divBdr>
        <w:top w:val="none" w:sz="0" w:space="0" w:color="auto"/>
        <w:left w:val="none" w:sz="0" w:space="0" w:color="auto"/>
        <w:bottom w:val="none" w:sz="0" w:space="0" w:color="auto"/>
        <w:right w:val="none" w:sz="0" w:space="0" w:color="auto"/>
      </w:divBdr>
    </w:div>
    <w:div w:id="876894426">
      <w:bodyDiv w:val="1"/>
      <w:marLeft w:val="0"/>
      <w:marRight w:val="0"/>
      <w:marTop w:val="0"/>
      <w:marBottom w:val="0"/>
      <w:divBdr>
        <w:top w:val="none" w:sz="0" w:space="0" w:color="auto"/>
        <w:left w:val="none" w:sz="0" w:space="0" w:color="auto"/>
        <w:bottom w:val="none" w:sz="0" w:space="0" w:color="auto"/>
        <w:right w:val="none" w:sz="0" w:space="0" w:color="auto"/>
      </w:divBdr>
    </w:div>
    <w:div w:id="1070153176">
      <w:bodyDiv w:val="1"/>
      <w:marLeft w:val="0"/>
      <w:marRight w:val="0"/>
      <w:marTop w:val="0"/>
      <w:marBottom w:val="0"/>
      <w:divBdr>
        <w:top w:val="none" w:sz="0" w:space="0" w:color="auto"/>
        <w:left w:val="none" w:sz="0" w:space="0" w:color="auto"/>
        <w:bottom w:val="none" w:sz="0" w:space="0" w:color="auto"/>
        <w:right w:val="none" w:sz="0" w:space="0" w:color="auto"/>
      </w:divBdr>
    </w:div>
    <w:div w:id="1151823608">
      <w:bodyDiv w:val="1"/>
      <w:marLeft w:val="0"/>
      <w:marRight w:val="0"/>
      <w:marTop w:val="0"/>
      <w:marBottom w:val="0"/>
      <w:divBdr>
        <w:top w:val="none" w:sz="0" w:space="0" w:color="auto"/>
        <w:left w:val="none" w:sz="0" w:space="0" w:color="auto"/>
        <w:bottom w:val="none" w:sz="0" w:space="0" w:color="auto"/>
        <w:right w:val="none" w:sz="0" w:space="0" w:color="auto"/>
      </w:divBdr>
    </w:div>
    <w:div w:id="1203833351">
      <w:bodyDiv w:val="1"/>
      <w:marLeft w:val="0"/>
      <w:marRight w:val="0"/>
      <w:marTop w:val="0"/>
      <w:marBottom w:val="0"/>
      <w:divBdr>
        <w:top w:val="none" w:sz="0" w:space="0" w:color="auto"/>
        <w:left w:val="none" w:sz="0" w:space="0" w:color="auto"/>
        <w:bottom w:val="none" w:sz="0" w:space="0" w:color="auto"/>
        <w:right w:val="none" w:sz="0" w:space="0" w:color="auto"/>
      </w:divBdr>
    </w:div>
    <w:div w:id="1225412767">
      <w:bodyDiv w:val="1"/>
      <w:marLeft w:val="0"/>
      <w:marRight w:val="0"/>
      <w:marTop w:val="0"/>
      <w:marBottom w:val="0"/>
      <w:divBdr>
        <w:top w:val="none" w:sz="0" w:space="0" w:color="auto"/>
        <w:left w:val="none" w:sz="0" w:space="0" w:color="auto"/>
        <w:bottom w:val="none" w:sz="0" w:space="0" w:color="auto"/>
        <w:right w:val="none" w:sz="0" w:space="0" w:color="auto"/>
      </w:divBdr>
    </w:div>
    <w:div w:id="1261640933">
      <w:bodyDiv w:val="1"/>
      <w:marLeft w:val="0"/>
      <w:marRight w:val="0"/>
      <w:marTop w:val="0"/>
      <w:marBottom w:val="0"/>
      <w:divBdr>
        <w:top w:val="none" w:sz="0" w:space="0" w:color="auto"/>
        <w:left w:val="none" w:sz="0" w:space="0" w:color="auto"/>
        <w:bottom w:val="none" w:sz="0" w:space="0" w:color="auto"/>
        <w:right w:val="none" w:sz="0" w:space="0" w:color="auto"/>
      </w:divBdr>
    </w:div>
    <w:div w:id="1290277639">
      <w:bodyDiv w:val="1"/>
      <w:marLeft w:val="0"/>
      <w:marRight w:val="0"/>
      <w:marTop w:val="0"/>
      <w:marBottom w:val="0"/>
      <w:divBdr>
        <w:top w:val="none" w:sz="0" w:space="0" w:color="auto"/>
        <w:left w:val="none" w:sz="0" w:space="0" w:color="auto"/>
        <w:bottom w:val="none" w:sz="0" w:space="0" w:color="auto"/>
        <w:right w:val="none" w:sz="0" w:space="0" w:color="auto"/>
      </w:divBdr>
    </w:div>
    <w:div w:id="1322271288">
      <w:bodyDiv w:val="1"/>
      <w:marLeft w:val="0"/>
      <w:marRight w:val="0"/>
      <w:marTop w:val="0"/>
      <w:marBottom w:val="0"/>
      <w:divBdr>
        <w:top w:val="none" w:sz="0" w:space="0" w:color="auto"/>
        <w:left w:val="none" w:sz="0" w:space="0" w:color="auto"/>
        <w:bottom w:val="none" w:sz="0" w:space="0" w:color="auto"/>
        <w:right w:val="none" w:sz="0" w:space="0" w:color="auto"/>
      </w:divBdr>
    </w:div>
    <w:div w:id="1372025597">
      <w:bodyDiv w:val="1"/>
      <w:marLeft w:val="0"/>
      <w:marRight w:val="0"/>
      <w:marTop w:val="0"/>
      <w:marBottom w:val="0"/>
      <w:divBdr>
        <w:top w:val="none" w:sz="0" w:space="0" w:color="auto"/>
        <w:left w:val="none" w:sz="0" w:space="0" w:color="auto"/>
        <w:bottom w:val="none" w:sz="0" w:space="0" w:color="auto"/>
        <w:right w:val="none" w:sz="0" w:space="0" w:color="auto"/>
      </w:divBdr>
    </w:div>
    <w:div w:id="1406756074">
      <w:bodyDiv w:val="1"/>
      <w:marLeft w:val="0"/>
      <w:marRight w:val="0"/>
      <w:marTop w:val="0"/>
      <w:marBottom w:val="0"/>
      <w:divBdr>
        <w:top w:val="none" w:sz="0" w:space="0" w:color="auto"/>
        <w:left w:val="none" w:sz="0" w:space="0" w:color="auto"/>
        <w:bottom w:val="none" w:sz="0" w:space="0" w:color="auto"/>
        <w:right w:val="none" w:sz="0" w:space="0" w:color="auto"/>
      </w:divBdr>
    </w:div>
    <w:div w:id="1422411575">
      <w:bodyDiv w:val="1"/>
      <w:marLeft w:val="0"/>
      <w:marRight w:val="0"/>
      <w:marTop w:val="0"/>
      <w:marBottom w:val="0"/>
      <w:divBdr>
        <w:top w:val="none" w:sz="0" w:space="0" w:color="auto"/>
        <w:left w:val="none" w:sz="0" w:space="0" w:color="auto"/>
        <w:bottom w:val="none" w:sz="0" w:space="0" w:color="auto"/>
        <w:right w:val="none" w:sz="0" w:space="0" w:color="auto"/>
      </w:divBdr>
    </w:div>
    <w:div w:id="1549805119">
      <w:bodyDiv w:val="1"/>
      <w:marLeft w:val="0"/>
      <w:marRight w:val="0"/>
      <w:marTop w:val="0"/>
      <w:marBottom w:val="0"/>
      <w:divBdr>
        <w:top w:val="none" w:sz="0" w:space="0" w:color="auto"/>
        <w:left w:val="none" w:sz="0" w:space="0" w:color="auto"/>
        <w:bottom w:val="none" w:sz="0" w:space="0" w:color="auto"/>
        <w:right w:val="none" w:sz="0" w:space="0" w:color="auto"/>
      </w:divBdr>
    </w:div>
    <w:div w:id="1559318655">
      <w:bodyDiv w:val="1"/>
      <w:marLeft w:val="0"/>
      <w:marRight w:val="0"/>
      <w:marTop w:val="0"/>
      <w:marBottom w:val="0"/>
      <w:divBdr>
        <w:top w:val="none" w:sz="0" w:space="0" w:color="auto"/>
        <w:left w:val="none" w:sz="0" w:space="0" w:color="auto"/>
        <w:bottom w:val="none" w:sz="0" w:space="0" w:color="auto"/>
        <w:right w:val="none" w:sz="0" w:space="0" w:color="auto"/>
      </w:divBdr>
    </w:div>
    <w:div w:id="1612979864">
      <w:bodyDiv w:val="1"/>
      <w:marLeft w:val="0"/>
      <w:marRight w:val="0"/>
      <w:marTop w:val="0"/>
      <w:marBottom w:val="0"/>
      <w:divBdr>
        <w:top w:val="none" w:sz="0" w:space="0" w:color="auto"/>
        <w:left w:val="none" w:sz="0" w:space="0" w:color="auto"/>
        <w:bottom w:val="none" w:sz="0" w:space="0" w:color="auto"/>
        <w:right w:val="none" w:sz="0" w:space="0" w:color="auto"/>
      </w:divBdr>
    </w:div>
    <w:div w:id="1639921567">
      <w:bodyDiv w:val="1"/>
      <w:marLeft w:val="0"/>
      <w:marRight w:val="0"/>
      <w:marTop w:val="0"/>
      <w:marBottom w:val="0"/>
      <w:divBdr>
        <w:top w:val="none" w:sz="0" w:space="0" w:color="auto"/>
        <w:left w:val="none" w:sz="0" w:space="0" w:color="auto"/>
        <w:bottom w:val="none" w:sz="0" w:space="0" w:color="auto"/>
        <w:right w:val="none" w:sz="0" w:space="0" w:color="auto"/>
      </w:divBdr>
    </w:div>
    <w:div w:id="1648706968">
      <w:bodyDiv w:val="1"/>
      <w:marLeft w:val="0"/>
      <w:marRight w:val="0"/>
      <w:marTop w:val="0"/>
      <w:marBottom w:val="0"/>
      <w:divBdr>
        <w:top w:val="none" w:sz="0" w:space="0" w:color="auto"/>
        <w:left w:val="none" w:sz="0" w:space="0" w:color="auto"/>
        <w:bottom w:val="none" w:sz="0" w:space="0" w:color="auto"/>
        <w:right w:val="none" w:sz="0" w:space="0" w:color="auto"/>
      </w:divBdr>
    </w:div>
    <w:div w:id="1720206543">
      <w:bodyDiv w:val="1"/>
      <w:marLeft w:val="0"/>
      <w:marRight w:val="0"/>
      <w:marTop w:val="0"/>
      <w:marBottom w:val="0"/>
      <w:divBdr>
        <w:top w:val="none" w:sz="0" w:space="0" w:color="auto"/>
        <w:left w:val="none" w:sz="0" w:space="0" w:color="auto"/>
        <w:bottom w:val="none" w:sz="0" w:space="0" w:color="auto"/>
        <w:right w:val="none" w:sz="0" w:space="0" w:color="auto"/>
      </w:divBdr>
    </w:div>
    <w:div w:id="1744257119">
      <w:bodyDiv w:val="1"/>
      <w:marLeft w:val="0"/>
      <w:marRight w:val="0"/>
      <w:marTop w:val="0"/>
      <w:marBottom w:val="0"/>
      <w:divBdr>
        <w:top w:val="none" w:sz="0" w:space="0" w:color="auto"/>
        <w:left w:val="none" w:sz="0" w:space="0" w:color="auto"/>
        <w:bottom w:val="none" w:sz="0" w:space="0" w:color="auto"/>
        <w:right w:val="none" w:sz="0" w:space="0" w:color="auto"/>
      </w:divBdr>
    </w:div>
    <w:div w:id="1754737696">
      <w:bodyDiv w:val="1"/>
      <w:marLeft w:val="0"/>
      <w:marRight w:val="0"/>
      <w:marTop w:val="0"/>
      <w:marBottom w:val="0"/>
      <w:divBdr>
        <w:top w:val="none" w:sz="0" w:space="0" w:color="auto"/>
        <w:left w:val="none" w:sz="0" w:space="0" w:color="auto"/>
        <w:bottom w:val="none" w:sz="0" w:space="0" w:color="auto"/>
        <w:right w:val="none" w:sz="0" w:space="0" w:color="auto"/>
      </w:divBdr>
    </w:div>
    <w:div w:id="1819109535">
      <w:bodyDiv w:val="1"/>
      <w:marLeft w:val="0"/>
      <w:marRight w:val="0"/>
      <w:marTop w:val="0"/>
      <w:marBottom w:val="0"/>
      <w:divBdr>
        <w:top w:val="none" w:sz="0" w:space="0" w:color="auto"/>
        <w:left w:val="none" w:sz="0" w:space="0" w:color="auto"/>
        <w:bottom w:val="none" w:sz="0" w:space="0" w:color="auto"/>
        <w:right w:val="none" w:sz="0" w:space="0" w:color="auto"/>
      </w:divBdr>
    </w:div>
    <w:div w:id="1838498125">
      <w:bodyDiv w:val="1"/>
      <w:marLeft w:val="0"/>
      <w:marRight w:val="0"/>
      <w:marTop w:val="0"/>
      <w:marBottom w:val="0"/>
      <w:divBdr>
        <w:top w:val="none" w:sz="0" w:space="0" w:color="auto"/>
        <w:left w:val="none" w:sz="0" w:space="0" w:color="auto"/>
        <w:bottom w:val="none" w:sz="0" w:space="0" w:color="auto"/>
        <w:right w:val="none" w:sz="0" w:space="0" w:color="auto"/>
      </w:divBdr>
    </w:div>
    <w:div w:id="2093119893">
      <w:bodyDiv w:val="1"/>
      <w:marLeft w:val="0"/>
      <w:marRight w:val="0"/>
      <w:marTop w:val="0"/>
      <w:marBottom w:val="0"/>
      <w:divBdr>
        <w:top w:val="none" w:sz="0" w:space="0" w:color="auto"/>
        <w:left w:val="none" w:sz="0" w:space="0" w:color="auto"/>
        <w:bottom w:val="none" w:sz="0" w:space="0" w:color="auto"/>
        <w:right w:val="none" w:sz="0" w:space="0" w:color="auto"/>
      </w:divBdr>
    </w:div>
    <w:div w:id="210942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lientNumber xmlns="8434d521-1a2d-4e94-9719-eda8c529d6b4" xsi:nil="true"/>
    <ProjectNumber xmlns="8434d521-1a2d-4e94-9719-eda8c529d6b4" xsi:nil="true"/>
    <Initiative xmlns="8434d521-1a2d-4e94-9719-eda8c529d6b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5A4747CB68FC64DBFD72A59AFC1A48D" ma:contentTypeVersion="12" ma:contentTypeDescription="Create a new document." ma:contentTypeScope="" ma:versionID="c4944af4a347be504eed457dcb3e1fe9">
  <xsd:schema xmlns:xsd="http://www.w3.org/2001/XMLSchema" xmlns:xs="http://www.w3.org/2001/XMLSchema" xmlns:p="http://schemas.microsoft.com/office/2006/metadata/properties" xmlns:ns2="8434d521-1a2d-4e94-9719-eda8c529d6b4" xmlns:ns3="283b9eea-81d3-4947-bff3-63174168046c" targetNamespace="http://schemas.microsoft.com/office/2006/metadata/properties" ma:root="true" ma:fieldsID="d1cf2b558ce0d681173a77c52f157e58" ns2:_="" ns3:_="">
    <xsd:import namespace="8434d521-1a2d-4e94-9719-eda8c529d6b4"/>
    <xsd:import namespace="283b9eea-81d3-4947-bff3-63174168046c"/>
    <xsd:element name="properties">
      <xsd:complexType>
        <xsd:sequence>
          <xsd:element name="documentManagement">
            <xsd:complexType>
              <xsd:all>
                <xsd:element ref="ns2:ProjectNumber" minOccurs="0"/>
                <xsd:element ref="ns2:ClientNumber" minOccurs="0"/>
                <xsd:element ref="ns2:Initiative"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4d521-1a2d-4e94-9719-eda8c529d6b4" elementFormDefault="qualified">
    <xsd:import namespace="http://schemas.microsoft.com/office/2006/documentManagement/types"/>
    <xsd:import namespace="http://schemas.microsoft.com/office/infopath/2007/PartnerControls"/>
    <xsd:element name="ProjectNumber" ma:index="4" nillable="true" ma:displayName="ProjectNumber" ma:internalName="ProjectNumber" ma:readOnly="false">
      <xsd:simpleType>
        <xsd:restriction base="dms:Text">
          <xsd:maxLength value="255"/>
        </xsd:restriction>
      </xsd:simpleType>
    </xsd:element>
    <xsd:element name="ClientNumber" ma:index="5" nillable="true" ma:displayName="ClientNumber" ma:internalName="ClientNumber" ma:readOnly="false">
      <xsd:simpleType>
        <xsd:restriction base="dms:Text">
          <xsd:maxLength value="255"/>
        </xsd:restriction>
      </xsd:simpleType>
    </xsd:element>
    <xsd:element name="Initiative" ma:index="6" nillable="true" ma:displayName="Initiative" ma:internalName="Initiative" ma:readOnly="false">
      <xsd:simpleType>
        <xsd:restriction base="dms:Text">
          <xsd:maxLength value="255"/>
        </xsd:restrictio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3b9eea-81d3-4947-bff3-6317416804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249302-1710-4F39-B763-76E0E8BA1C17}">
  <ds:schemaRefs>
    <ds:schemaRef ds:uri="http://schemas.microsoft.com/sharepoint/v3/contenttype/forms"/>
  </ds:schemaRefs>
</ds:datastoreItem>
</file>

<file path=customXml/itemProps2.xml><?xml version="1.0" encoding="utf-8"?>
<ds:datastoreItem xmlns:ds="http://schemas.openxmlformats.org/officeDocument/2006/customXml" ds:itemID="{D1F532C7-89EA-48C8-A9F4-BC36A8CA902C}">
  <ds:schemaRefs>
    <ds:schemaRef ds:uri="http://schemas.microsoft.com/office/2006/metadata/properties"/>
    <ds:schemaRef ds:uri="http://schemas.microsoft.com/office/infopath/2007/PartnerControls"/>
    <ds:schemaRef ds:uri="8434d521-1a2d-4e94-9719-eda8c529d6b4"/>
  </ds:schemaRefs>
</ds:datastoreItem>
</file>

<file path=customXml/itemProps3.xml><?xml version="1.0" encoding="utf-8"?>
<ds:datastoreItem xmlns:ds="http://schemas.openxmlformats.org/officeDocument/2006/customXml" ds:itemID="{2D25AFAC-DBF9-493D-B8D3-A026CF9AD9AB}">
  <ds:schemaRefs>
    <ds:schemaRef ds:uri="http://schemas.openxmlformats.org/officeDocument/2006/bibliography"/>
  </ds:schemaRefs>
</ds:datastoreItem>
</file>

<file path=customXml/itemProps4.xml><?xml version="1.0" encoding="utf-8"?>
<ds:datastoreItem xmlns:ds="http://schemas.openxmlformats.org/officeDocument/2006/customXml" ds:itemID="{CAE12390-9C80-42F6-A358-CFA2E9BC7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34d521-1a2d-4e94-9719-eda8c529d6b4"/>
    <ds:schemaRef ds:uri="283b9eea-81d3-4947-bff3-631741680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727</Words>
  <Characters>3969</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Date:</vt:lpstr>
    </vt:vector>
  </TitlesOfParts>
  <Company>Tetra Tech Executive Services</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Scott.Wagner</dc:creator>
  <cp:lastModifiedBy>Therese Harris</cp:lastModifiedBy>
  <cp:revision>2</cp:revision>
  <cp:lastPrinted>2007-01-02T22:46:00Z</cp:lastPrinted>
  <dcterms:created xsi:type="dcterms:W3CDTF">2023-06-27T14:07:00Z</dcterms:created>
  <dcterms:modified xsi:type="dcterms:W3CDTF">2023-06-27T14:07:00Z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0x01010035A4747CB68FC64DBFD72A59AFC1A48D</vt:lpwstr>
  </property>
</Properties>
</file>